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outlineLvl w:val="1"/>
        <w:rPr>
          <w:rFonts w:ascii="方正小标宋简体" w:hAnsi="黑体" w:eastAsia="方正小标宋简体" w:cs="宋体"/>
          <w:color w:val="000000"/>
          <w:kern w:val="0"/>
          <w:sz w:val="44"/>
          <w:szCs w:val="44"/>
          <w:highlight w:val="none"/>
        </w:rPr>
      </w:pPr>
      <w:r>
        <w:rPr>
          <w:rFonts w:hint="eastAsia" w:ascii="方正小标宋简体" w:hAnsi="黑体" w:eastAsia="方正小标宋简体" w:cs="宋体"/>
          <w:color w:val="000000"/>
          <w:kern w:val="0"/>
          <w:sz w:val="44"/>
          <w:szCs w:val="44"/>
          <w:highlight w:val="none"/>
        </w:rPr>
        <w:t>西北农林科技大学动物医学院</w:t>
      </w:r>
    </w:p>
    <w:p>
      <w:pPr>
        <w:widowControl/>
        <w:spacing w:line="640" w:lineRule="exact"/>
        <w:jc w:val="center"/>
        <w:outlineLvl w:val="1"/>
        <w:rPr>
          <w:rFonts w:hint="eastAsia" w:ascii="方正小标宋简体" w:hAnsi="黑体" w:eastAsia="方正小标宋简体" w:cs="宋体"/>
          <w:color w:val="000000"/>
          <w:kern w:val="0"/>
          <w:sz w:val="44"/>
          <w:szCs w:val="44"/>
          <w:highlight w:val="none"/>
        </w:rPr>
      </w:pPr>
      <w:r>
        <w:rPr>
          <w:rFonts w:hint="eastAsia" w:ascii="方正小标宋简体" w:hAnsi="黑体" w:eastAsia="方正小标宋简体" w:cs="宋体"/>
          <w:color w:val="000000"/>
          <w:kern w:val="0"/>
          <w:sz w:val="44"/>
          <w:szCs w:val="44"/>
          <w:highlight w:val="none"/>
        </w:rPr>
        <w:t>202</w:t>
      </w:r>
      <w:r>
        <w:rPr>
          <w:rFonts w:hint="eastAsia" w:ascii="方正小标宋简体" w:hAnsi="黑体" w:eastAsia="方正小标宋简体" w:cs="宋体"/>
          <w:color w:val="000000"/>
          <w:kern w:val="0"/>
          <w:sz w:val="44"/>
          <w:szCs w:val="44"/>
          <w:highlight w:val="none"/>
          <w:lang w:val="en-US" w:eastAsia="zh-CN"/>
        </w:rPr>
        <w:t>4</w:t>
      </w:r>
      <w:r>
        <w:rPr>
          <w:rFonts w:hint="eastAsia" w:ascii="方正小标宋简体" w:hAnsi="黑体" w:eastAsia="方正小标宋简体" w:cs="宋体"/>
          <w:color w:val="000000"/>
          <w:kern w:val="0"/>
          <w:sz w:val="44"/>
          <w:szCs w:val="44"/>
          <w:highlight w:val="none"/>
        </w:rPr>
        <w:t>年招收研究生教师年度审核办法</w:t>
      </w:r>
    </w:p>
    <w:p>
      <w:pPr>
        <w:widowControl/>
        <w:spacing w:before="156" w:beforeLines="50"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为全面贯彻落实全国研究生教育会议精神，加强导师队伍建设，根据教育部、国家发改委、财政部关于加快新时代研究生教育改革发展的意见，《教育部关于全面落实研究生导师立德树人职责的意见》（教研〔2018〕1号）、《西北农林科技大学研究生指导教师岗位职责及管理办法》（校研发〔2017〕381号）和《西北农林科技大学研究生指导教师招生资格年度审核办法》（校研发〔2020〕220号）等文件精神，制定本办法。</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第一条</w:t>
      </w:r>
      <w:r>
        <w:rPr>
          <w:rFonts w:hint="eastAsia" w:ascii="仿宋" w:hAnsi="仿宋" w:eastAsia="仿宋" w:cs="黑体"/>
          <w:b/>
          <w:bCs/>
          <w:sz w:val="32"/>
          <w:szCs w:val="32"/>
          <w:highlight w:val="none"/>
          <w:lang w:val="en-US" w:eastAsia="zh-CN"/>
        </w:rPr>
        <w:t xml:space="preserve"> </w:t>
      </w:r>
      <w:r>
        <w:rPr>
          <w:rFonts w:hint="eastAsia" w:ascii="仿宋" w:hAnsi="仿宋" w:eastAsia="仿宋" w:cs="黑体"/>
          <w:sz w:val="32"/>
          <w:szCs w:val="32"/>
          <w:highlight w:val="none"/>
          <w:lang w:val="zh-CN"/>
        </w:rPr>
        <w:t>学术学位导师招生资格审核与专业学位导师招生资格年度审核分类进行。学术学位博士生导师可以招收学术学位博士研究生和学术学位硕士研究生，学术学位硕士生导师可以招收学术学位硕士研究生；专业学位博士生导师可以招收专业学位博士研究生和专业学位硕士研究生，专业学位硕士生导师可以招收专业硕士研究生。导师可以同时申请学术学位导师和专业学位导师招生资格。</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第二条</w:t>
      </w:r>
      <w:r>
        <w:rPr>
          <w:rFonts w:hint="eastAsia" w:ascii="仿宋" w:hAnsi="仿宋" w:eastAsia="仿宋" w:cs="黑体"/>
          <w:sz w:val="32"/>
          <w:szCs w:val="32"/>
          <w:highlight w:val="none"/>
          <w:lang w:val="zh-CN"/>
        </w:rPr>
        <w:t xml:space="preserve"> 招收研究生教师应具备以下基本条件：</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1.坚持正确的政治方向，拥护中国共产党的领导，拥护中国特色社会主义制度。</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2.我校从事教学、科研、教学科研、推广工作的教职工，且本人为非在读研究生；上年度学校职工岗位考核和师德师风考核合格。</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3.熟悉国家和学校研究生教育的有关政策法规，为人师表，治学严谨，身体健康，能履行导师岗位职责。</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4.没有违反学术道德和学术规范被限招或停招的情况；近3年指导的研究生学位论文在各级抽检中未出现“存在问题论文”情况。</w:t>
      </w:r>
    </w:p>
    <w:p>
      <w:pPr>
        <w:widowControl/>
        <w:spacing w:line="540" w:lineRule="exact"/>
        <w:ind w:firstLine="640" w:firstLineChars="200"/>
        <w:outlineLvl w:val="1"/>
        <w:rPr>
          <w:rFonts w:hint="eastAsia" w:ascii="仿宋" w:hAnsi="仿宋" w:eastAsia="仿宋" w:cs="黑体"/>
          <w:sz w:val="32"/>
          <w:szCs w:val="32"/>
          <w:highlight w:val="none"/>
          <w:lang w:val="zh-CN"/>
        </w:rPr>
      </w:pPr>
      <w:r>
        <w:rPr>
          <w:rFonts w:hint="eastAsia" w:ascii="仿宋" w:hAnsi="仿宋" w:eastAsia="仿宋" w:cs="黑体"/>
          <w:sz w:val="32"/>
          <w:szCs w:val="32"/>
          <w:highlight w:val="none"/>
          <w:lang w:val="zh-CN"/>
        </w:rPr>
        <w:t>5.截止年审当年6月30日，距离学校规定的退休年龄不少于3年，对</w:t>
      </w:r>
      <w:r>
        <w:rPr>
          <w:rFonts w:hint="default" w:ascii="仿宋" w:hAnsi="仿宋" w:eastAsia="仿宋" w:cs="黑体"/>
          <w:sz w:val="32"/>
          <w:szCs w:val="32"/>
          <w:highlight w:val="none"/>
          <w:lang w:val="zh-CN"/>
        </w:rPr>
        <w:t>于符合学校延迟退休条件的其他教师，经人事处审核确认后，按延退年龄进行计算</w:t>
      </w:r>
      <w:r>
        <w:rPr>
          <w:rFonts w:hint="eastAsia" w:ascii="仿宋" w:hAnsi="仿宋" w:eastAsia="仿宋" w:cs="黑体"/>
          <w:sz w:val="32"/>
          <w:szCs w:val="32"/>
          <w:highlight w:val="none"/>
          <w:lang w:val="zh-CN"/>
        </w:rPr>
        <w:t>。</w:t>
      </w:r>
    </w:p>
    <w:p>
      <w:pPr>
        <w:widowControl/>
        <w:spacing w:line="540" w:lineRule="exact"/>
        <w:ind w:firstLine="640" w:firstLineChars="200"/>
        <w:jc w:val="left"/>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bidi="ar"/>
        </w:rPr>
        <w:t>在学校规定退休年龄时，按照研究生基本学制年限不能完整培养一届研究生的导师，学院在年审时需指定第二导师，作为导师组主要成员，确保研究生培养质量。</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第三条</w:t>
      </w:r>
      <w:r>
        <w:rPr>
          <w:rFonts w:hint="eastAsia" w:ascii="仿宋" w:hAnsi="仿宋" w:eastAsia="仿宋" w:cs="黑体"/>
          <w:sz w:val="32"/>
          <w:szCs w:val="32"/>
          <w:highlight w:val="none"/>
          <w:lang w:val="zh-CN"/>
        </w:rPr>
        <w:t xml:space="preserve"> 招收学术型博士研究生教师应满足以下条件：</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1.具有教授（研究员）职称；或具有博士学位的副教授（副研究员）职称。</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2.初次申请招收学术学位博士生人员，应独立完整培养过一届全日制学术型硕士研究生；或在国内外参加博士生指导小组协助培养过博士生，培养质量较好。</w:t>
      </w:r>
    </w:p>
    <w:p>
      <w:pPr>
        <w:widowControl/>
        <w:spacing w:line="540" w:lineRule="exact"/>
        <w:ind w:firstLine="640" w:firstLineChars="200"/>
        <w:jc w:val="left"/>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到位科研经费不少于</w:t>
      </w:r>
      <w:r>
        <w:rPr>
          <w:rFonts w:ascii="仿宋" w:hAnsi="仿宋" w:eastAsia="仿宋" w:cs="黑体"/>
          <w:sz w:val="32"/>
          <w:szCs w:val="32"/>
          <w:highlight w:val="none"/>
          <w:lang w:val="zh-CN"/>
        </w:rPr>
        <w:t>50万元</w:t>
      </w:r>
      <w:r>
        <w:rPr>
          <w:rFonts w:hint="eastAsia" w:ascii="仿宋" w:hAnsi="仿宋" w:eastAsia="仿宋" w:cs="黑体"/>
          <w:sz w:val="32"/>
          <w:szCs w:val="32"/>
          <w:highlight w:val="none"/>
          <w:lang w:val="zh-CN"/>
        </w:rPr>
        <w:t>（不含学校下达的经费）</w:t>
      </w:r>
      <w:r>
        <w:rPr>
          <w:rFonts w:hint="eastAsia" w:ascii="仿宋" w:hAnsi="仿宋" w:eastAsia="仿宋" w:cs="黑体"/>
          <w:sz w:val="32"/>
          <w:szCs w:val="32"/>
          <w:highlight w:val="none"/>
          <w:lang w:val="zh-CN" w:bidi="ar"/>
        </w:rPr>
        <w:t>,</w:t>
      </w:r>
      <w:r>
        <w:rPr>
          <w:rFonts w:hint="eastAsia" w:ascii="仿宋" w:hAnsi="仿宋" w:eastAsia="仿宋" w:cs="黑体"/>
          <w:sz w:val="32"/>
          <w:szCs w:val="32"/>
          <w:highlight w:val="none"/>
          <w:lang w:val="en-US" w:eastAsia="zh-CN" w:bidi="ar"/>
        </w:rPr>
        <w:t>且</w:t>
      </w:r>
      <w:bookmarkStart w:id="0" w:name="_GoBack"/>
      <w:bookmarkEnd w:id="0"/>
      <w:r>
        <w:rPr>
          <w:rFonts w:hint="eastAsia" w:ascii="仿宋_GB2312" w:hAnsi="仿宋" w:eastAsia="仿宋_GB2312"/>
          <w:sz w:val="32"/>
          <w:szCs w:val="32"/>
        </w:rPr>
        <w:t>主持省部级及以上项目不少于1项</w:t>
      </w:r>
      <w:r>
        <w:rPr>
          <w:rFonts w:hint="eastAsia" w:ascii="仿宋" w:hAnsi="仿宋" w:eastAsia="仿宋" w:cs="黑体"/>
          <w:sz w:val="32"/>
          <w:szCs w:val="32"/>
          <w:highlight w:val="none"/>
          <w:lang w:val="zh-CN"/>
        </w:rPr>
        <w:t>。</w:t>
      </w:r>
    </w:p>
    <w:p>
      <w:pPr>
        <w:widowControl/>
        <w:spacing w:line="540" w:lineRule="exact"/>
        <w:ind w:firstLine="640" w:firstLineChars="200"/>
        <w:jc w:val="left"/>
        <w:rPr>
          <w:rFonts w:hint="eastAsia" w:ascii="仿宋" w:hAnsi="仿宋" w:eastAsia="仿宋_GB2312" w:cs="黑体"/>
          <w:sz w:val="32"/>
          <w:szCs w:val="32"/>
          <w:highlight w:val="none"/>
          <w:lang w:val="zh-CN" w:eastAsia="zh-CN"/>
        </w:rPr>
      </w:pPr>
      <w:r>
        <w:rPr>
          <w:rFonts w:hint="eastAsia" w:ascii="仿宋" w:hAnsi="仿宋" w:eastAsia="仿宋" w:cs="黑体"/>
          <w:sz w:val="32"/>
          <w:szCs w:val="32"/>
          <w:highlight w:val="none"/>
          <w:lang w:val="zh-CN"/>
        </w:rPr>
        <w:t>4.20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w:t>
      </w:r>
      <w:r>
        <w:rPr>
          <w:rFonts w:hint="eastAsia" w:ascii="仿宋_GB2312" w:hAnsi="仿宋" w:eastAsia="仿宋_GB2312"/>
          <w:sz w:val="32"/>
          <w:szCs w:val="32"/>
        </w:rPr>
        <w:t>在学校</w:t>
      </w:r>
      <w:r>
        <w:rPr>
          <w:rFonts w:hint="eastAsia" w:ascii="仿宋_GB2312" w:hAnsi="仿宋" w:eastAsia="仿宋_GB2312"/>
          <w:sz w:val="32"/>
          <w:szCs w:val="32"/>
          <w:lang w:eastAsia="zh-CN"/>
        </w:rPr>
        <w:t>和学院</w:t>
      </w:r>
      <w:r>
        <w:rPr>
          <w:rFonts w:hint="eastAsia" w:ascii="仿宋_GB2312" w:hAnsi="仿宋" w:eastAsia="仿宋_GB2312"/>
          <w:sz w:val="32"/>
          <w:szCs w:val="32"/>
        </w:rPr>
        <w:t>高质量期刊发表学术论文不少于</w:t>
      </w:r>
      <w:r>
        <w:rPr>
          <w:rFonts w:hint="eastAsia" w:ascii="仿宋_GB2312" w:hAnsi="仿宋" w:eastAsia="仿宋_GB2312"/>
          <w:sz w:val="32"/>
          <w:szCs w:val="32"/>
          <w:lang w:val="en-US" w:eastAsia="zh-CN"/>
        </w:rPr>
        <w:t>3</w:t>
      </w:r>
      <w:r>
        <w:rPr>
          <w:rFonts w:hint="eastAsia" w:ascii="仿宋_GB2312" w:hAnsi="仿宋" w:eastAsia="仿宋_GB2312"/>
          <w:sz w:val="32"/>
          <w:szCs w:val="32"/>
        </w:rPr>
        <w:t>篇，或</w:t>
      </w:r>
      <w:r>
        <w:rPr>
          <w:rFonts w:hint="eastAsia" w:ascii="仿宋_GB2312" w:hAnsi="仿宋" w:eastAsia="仿宋_GB2312"/>
          <w:sz w:val="32"/>
          <w:szCs w:val="32"/>
          <w:lang w:val="en-US" w:eastAsia="zh-CN"/>
        </w:rPr>
        <w:t>A类期刊</w:t>
      </w:r>
      <w:r>
        <w:rPr>
          <w:rFonts w:hint="eastAsia" w:ascii="仿宋_GB2312" w:hAnsi="仿宋" w:eastAsia="仿宋_GB2312"/>
          <w:sz w:val="32"/>
          <w:szCs w:val="32"/>
        </w:rPr>
        <w:t>及以上论文1篇</w:t>
      </w:r>
      <w:r>
        <w:rPr>
          <w:rFonts w:hint="eastAsia" w:ascii="仿宋_GB2312" w:hAnsi="仿宋" w:eastAsia="仿宋_GB2312"/>
          <w:sz w:val="32"/>
          <w:szCs w:val="32"/>
          <w:lang w:eastAsia="zh-CN"/>
        </w:rPr>
        <w:t>，</w:t>
      </w:r>
      <w:r>
        <w:rPr>
          <w:rFonts w:hint="eastAsia" w:ascii="仿宋_GB2312" w:hAnsi="仿宋" w:eastAsia="仿宋_GB2312"/>
          <w:sz w:val="32"/>
          <w:szCs w:val="32"/>
        </w:rPr>
        <w:t>或中科院大类一区论文1篇</w:t>
      </w:r>
      <w:r>
        <w:rPr>
          <w:rFonts w:hint="eastAsia" w:ascii="仿宋" w:hAnsi="仿宋" w:eastAsia="仿宋" w:cs="黑体"/>
          <w:sz w:val="32"/>
          <w:szCs w:val="32"/>
          <w:highlight w:val="none"/>
          <w:lang w:val="zh-CN" w:bidi="ar"/>
        </w:rPr>
        <w:t>；</w:t>
      </w:r>
      <w:r>
        <w:rPr>
          <w:rFonts w:hint="eastAsia" w:ascii="仿宋" w:hAnsi="仿宋" w:eastAsia="仿宋" w:cs="黑体"/>
          <w:sz w:val="32"/>
          <w:szCs w:val="32"/>
          <w:highlight w:val="none"/>
          <w:lang w:val="zh-CN"/>
        </w:rPr>
        <w:t>或获批省部级以上</w:t>
      </w:r>
      <w:r>
        <w:rPr>
          <w:rFonts w:hint="eastAsia" w:ascii="仿宋_GB2312" w:hAnsi="仿宋" w:eastAsia="仿宋_GB2312"/>
          <w:sz w:val="32"/>
          <w:szCs w:val="32"/>
        </w:rPr>
        <w:t>科研</w:t>
      </w:r>
      <w:r>
        <w:rPr>
          <w:rFonts w:hint="eastAsia" w:ascii="仿宋" w:hAnsi="仿宋" w:eastAsia="仿宋" w:cs="黑体"/>
          <w:sz w:val="32"/>
          <w:szCs w:val="32"/>
          <w:highlight w:val="none"/>
          <w:lang w:val="zh-CN"/>
        </w:rPr>
        <w:t>成果奖1项（省部级二等奖前</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lang w:val="zh-CN"/>
        </w:rPr>
        <w:t>名，一等奖前</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名；国家奖获奖证书持有者）；</w:t>
      </w:r>
      <w:r>
        <w:rPr>
          <w:rFonts w:hint="eastAsia" w:ascii="仿宋_GB2312" w:hAnsi="仿宋" w:eastAsia="仿宋_GB2312"/>
          <w:sz w:val="32"/>
          <w:szCs w:val="32"/>
        </w:rPr>
        <w:t>或获批国家注册的新兽药（III类及以上）、国家审定的新品种或新技术1项及以上（前3名完成人）；或成功转让发明专利、实用新型专利、新兽药、新品种、新技术1项及以上，且转让经费在</w:t>
      </w:r>
      <w:r>
        <w:rPr>
          <w:rFonts w:hint="eastAsia" w:ascii="仿宋_GB2312" w:hAnsi="仿宋" w:eastAsia="仿宋_GB2312"/>
          <w:sz w:val="32"/>
          <w:szCs w:val="32"/>
          <w:lang w:val="en-US" w:eastAsia="zh-CN"/>
        </w:rPr>
        <w:t>3</w:t>
      </w:r>
      <w:r>
        <w:rPr>
          <w:rFonts w:ascii="仿宋_GB2312" w:hAnsi="仿宋" w:eastAsia="仿宋_GB2312"/>
          <w:sz w:val="32"/>
          <w:szCs w:val="32"/>
        </w:rPr>
        <w:t>0</w:t>
      </w:r>
      <w:r>
        <w:rPr>
          <w:rFonts w:hint="eastAsia" w:ascii="仿宋_GB2312" w:hAnsi="仿宋" w:eastAsia="仿宋_GB2312"/>
          <w:sz w:val="32"/>
          <w:szCs w:val="32"/>
        </w:rPr>
        <w:t>万元以上</w:t>
      </w:r>
      <w:r>
        <w:rPr>
          <w:rFonts w:hint="eastAsia" w:ascii="仿宋_GB2312" w:hAnsi="仿宋" w:eastAsia="仿宋_GB2312"/>
          <w:sz w:val="32"/>
          <w:szCs w:val="32"/>
          <w:lang w:eastAsia="zh-CN"/>
        </w:rPr>
        <w:t>。</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第四条</w:t>
      </w:r>
      <w:r>
        <w:rPr>
          <w:rFonts w:hint="eastAsia" w:ascii="仿宋" w:hAnsi="仿宋" w:eastAsia="仿宋" w:cs="黑体"/>
          <w:sz w:val="32"/>
          <w:szCs w:val="32"/>
          <w:highlight w:val="none"/>
          <w:lang w:val="zh-CN"/>
        </w:rPr>
        <w:t xml:space="preserve"> 招收兽医博士研究生教师应满足以下条件：</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1.具有教授（研究员）职称；或具有博士学位的副教授（副研究员）职称。</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2.初次申请招收专业学位博士研究生人员，应独立完整培养过一届全日制专业型硕士研究生；或在国内外参加博士生指导小组协助培养过博士生，培养质量较好。</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3.主持行业或企业委托的科研项目，或与企业共同承担省部级及以上科研项目，或其他能用于专业学位博士研究生培养的科研项目，20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到位应用型科研课题经费不少于</w:t>
      </w:r>
      <w:r>
        <w:rPr>
          <w:rFonts w:hint="eastAsia" w:ascii="仿宋" w:hAnsi="仿宋" w:eastAsia="仿宋" w:cs="黑体"/>
          <w:sz w:val="32"/>
          <w:szCs w:val="32"/>
          <w:highlight w:val="none"/>
          <w:lang w:val="en-US" w:eastAsia="zh-CN"/>
        </w:rPr>
        <w:t>3</w:t>
      </w:r>
      <w:r>
        <w:rPr>
          <w:rFonts w:ascii="仿宋" w:hAnsi="仿宋" w:eastAsia="仿宋" w:cs="黑体"/>
          <w:sz w:val="32"/>
          <w:szCs w:val="32"/>
          <w:highlight w:val="none"/>
          <w:lang w:val="zh-CN"/>
        </w:rPr>
        <w:t>0万元（不含学校下达的科研经费）。</w:t>
      </w:r>
    </w:p>
    <w:p>
      <w:pPr>
        <w:widowControl/>
        <w:spacing w:line="540" w:lineRule="exact"/>
        <w:ind w:firstLine="640" w:firstLineChars="200"/>
        <w:jc w:val="left"/>
        <w:rPr>
          <w:rFonts w:hint="eastAsia" w:ascii="仿宋" w:hAnsi="仿宋" w:eastAsia="仿宋_GB2312" w:cs="黑体"/>
          <w:sz w:val="32"/>
          <w:szCs w:val="32"/>
          <w:highlight w:val="none"/>
          <w:lang w:val="zh-CN" w:eastAsia="zh-CN"/>
        </w:rPr>
      </w:pPr>
      <w:r>
        <w:rPr>
          <w:rFonts w:hint="eastAsia" w:ascii="仿宋" w:hAnsi="仿宋" w:eastAsia="仿宋" w:cs="黑体"/>
          <w:sz w:val="32"/>
          <w:szCs w:val="32"/>
          <w:highlight w:val="none"/>
          <w:lang w:val="zh-CN"/>
        </w:rPr>
        <w:t>4.20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以第一作者或通讯作者发表</w:t>
      </w:r>
      <w:r>
        <w:rPr>
          <w:rFonts w:hint="eastAsia" w:ascii="仿宋" w:hAnsi="仿宋" w:eastAsia="仿宋" w:cs="黑体"/>
          <w:sz w:val="32"/>
          <w:szCs w:val="32"/>
          <w:highlight w:val="none"/>
          <w:lang w:val="en-US" w:eastAsia="zh-CN"/>
        </w:rPr>
        <w:t>学校和学院高质量期刊论文</w:t>
      </w:r>
      <w:r>
        <w:rPr>
          <w:rFonts w:hint="eastAsia" w:ascii="仿宋" w:hAnsi="仿宋" w:eastAsia="仿宋" w:cs="黑体"/>
          <w:sz w:val="32"/>
          <w:szCs w:val="32"/>
          <w:highlight w:val="none"/>
          <w:lang w:val="zh-CN"/>
        </w:rPr>
        <w:t>不少于3篇，或发表中科院</w:t>
      </w:r>
      <w:r>
        <w:rPr>
          <w:rFonts w:hint="eastAsia" w:ascii="仿宋" w:hAnsi="仿宋" w:eastAsia="仿宋" w:cs="黑体"/>
          <w:sz w:val="32"/>
          <w:szCs w:val="32"/>
          <w:highlight w:val="none"/>
          <w:lang w:val="en-US" w:eastAsia="zh-CN"/>
        </w:rPr>
        <w:t>大类</w:t>
      </w:r>
      <w:r>
        <w:rPr>
          <w:rFonts w:hint="eastAsia" w:ascii="仿宋" w:hAnsi="仿宋" w:eastAsia="仿宋" w:cs="黑体"/>
          <w:sz w:val="32"/>
          <w:szCs w:val="32"/>
          <w:highlight w:val="none"/>
          <w:lang w:val="zh-CN"/>
        </w:rPr>
        <w:t>二区TOP期刊</w:t>
      </w:r>
      <w:r>
        <w:rPr>
          <w:rFonts w:hint="eastAsia" w:ascii="仿宋_GB2312" w:hAnsi="仿宋" w:eastAsia="仿宋_GB2312"/>
          <w:sz w:val="32"/>
          <w:szCs w:val="32"/>
        </w:rPr>
        <w:t>及以上</w:t>
      </w:r>
      <w:r>
        <w:rPr>
          <w:rFonts w:hint="eastAsia" w:ascii="仿宋" w:hAnsi="仿宋" w:eastAsia="仿宋" w:cs="黑体"/>
          <w:sz w:val="32"/>
          <w:szCs w:val="32"/>
          <w:highlight w:val="none"/>
          <w:lang w:val="zh-CN"/>
        </w:rPr>
        <w:t>论文不少于</w:t>
      </w:r>
      <w:r>
        <w:rPr>
          <w:rFonts w:ascii="仿宋" w:hAnsi="仿宋" w:eastAsia="仿宋" w:cs="黑体"/>
          <w:sz w:val="32"/>
          <w:szCs w:val="32"/>
          <w:highlight w:val="none"/>
        </w:rPr>
        <w:t>1</w:t>
      </w:r>
      <w:r>
        <w:rPr>
          <w:rFonts w:hint="eastAsia" w:ascii="仿宋" w:hAnsi="仿宋" w:eastAsia="仿宋" w:cs="黑体"/>
          <w:sz w:val="32"/>
          <w:szCs w:val="32"/>
          <w:highlight w:val="none"/>
          <w:lang w:val="zh-CN"/>
        </w:rPr>
        <w:t>篇，或获批发明专利不少于</w:t>
      </w:r>
      <w:r>
        <w:rPr>
          <w:rFonts w:hint="eastAsia" w:ascii="仿宋" w:hAnsi="仿宋" w:eastAsia="仿宋" w:cs="黑体"/>
          <w:sz w:val="32"/>
          <w:szCs w:val="32"/>
          <w:highlight w:val="none"/>
        </w:rPr>
        <w:t>2项，</w:t>
      </w:r>
      <w:r>
        <w:rPr>
          <w:rFonts w:hint="eastAsia" w:ascii="仿宋" w:hAnsi="仿宋" w:eastAsia="仿宋" w:cs="黑体"/>
          <w:sz w:val="32"/>
          <w:szCs w:val="32"/>
          <w:highlight w:val="none"/>
          <w:lang w:val="zh-CN"/>
        </w:rPr>
        <w:t>或获省部级以上</w:t>
      </w:r>
      <w:r>
        <w:rPr>
          <w:rFonts w:hint="eastAsia" w:ascii="仿宋_GB2312" w:hAnsi="仿宋" w:eastAsia="仿宋_GB2312"/>
          <w:sz w:val="32"/>
          <w:szCs w:val="32"/>
        </w:rPr>
        <w:t>科研、推广</w:t>
      </w:r>
      <w:r>
        <w:rPr>
          <w:rFonts w:hint="eastAsia" w:ascii="仿宋" w:hAnsi="仿宋" w:eastAsia="仿宋" w:cs="黑体"/>
          <w:sz w:val="32"/>
          <w:szCs w:val="32"/>
          <w:highlight w:val="none"/>
          <w:lang w:val="zh-CN"/>
        </w:rPr>
        <w:t>成果奖1项（省部级二等奖前</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lang w:val="zh-CN"/>
        </w:rPr>
        <w:t>名，一等奖前</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名；国家奖获奖证书持有者）；</w:t>
      </w:r>
      <w:r>
        <w:rPr>
          <w:rFonts w:hint="eastAsia" w:ascii="仿宋_GB2312" w:hAnsi="仿宋" w:eastAsia="仿宋_GB2312"/>
          <w:sz w:val="32"/>
          <w:szCs w:val="32"/>
        </w:rPr>
        <w:t>或获批国家注册的新兽药（III类及以上）、国家审定的新品种或新技术1项及以上（前3名完成人）；或成功转让发明专利、实用新型专利、新兽药、新品种、新技术1项及以上，且转让经费在</w:t>
      </w:r>
      <w:r>
        <w:rPr>
          <w:rFonts w:hint="eastAsia" w:ascii="仿宋_GB2312" w:hAnsi="仿宋" w:eastAsia="仿宋_GB2312"/>
          <w:sz w:val="32"/>
          <w:szCs w:val="32"/>
          <w:lang w:val="en-US" w:eastAsia="zh-CN"/>
        </w:rPr>
        <w:t>2</w:t>
      </w:r>
      <w:r>
        <w:rPr>
          <w:rFonts w:ascii="仿宋_GB2312" w:hAnsi="仿宋" w:eastAsia="仿宋_GB2312"/>
          <w:sz w:val="32"/>
          <w:szCs w:val="32"/>
        </w:rPr>
        <w:t>0</w:t>
      </w:r>
      <w:r>
        <w:rPr>
          <w:rFonts w:hint="eastAsia" w:ascii="仿宋_GB2312" w:hAnsi="仿宋" w:eastAsia="仿宋_GB2312"/>
          <w:sz w:val="32"/>
          <w:szCs w:val="32"/>
        </w:rPr>
        <w:t>万元以上</w:t>
      </w:r>
      <w:r>
        <w:rPr>
          <w:rFonts w:hint="eastAsia" w:ascii="仿宋_GB2312" w:hAnsi="仿宋" w:eastAsia="仿宋_GB2312"/>
          <w:sz w:val="32"/>
          <w:szCs w:val="32"/>
          <w:lang w:eastAsia="zh-CN"/>
        </w:rPr>
        <w:t>。</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rPr>
        <w:t>5.</w:t>
      </w:r>
      <w:r>
        <w:rPr>
          <w:rFonts w:hint="eastAsia" w:ascii="仿宋" w:hAnsi="仿宋" w:eastAsia="仿宋" w:cs="黑体"/>
          <w:sz w:val="32"/>
          <w:szCs w:val="32"/>
          <w:highlight w:val="none"/>
          <w:lang w:val="zh-CN"/>
        </w:rPr>
        <w:t>能够提供培养专业学位博士研究生的实践基地，并能配备校外合作导师。</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第五条</w:t>
      </w:r>
      <w:r>
        <w:rPr>
          <w:rFonts w:hint="eastAsia" w:ascii="仿宋" w:hAnsi="仿宋" w:eastAsia="仿宋" w:cs="黑体"/>
          <w:sz w:val="32"/>
          <w:szCs w:val="32"/>
          <w:highlight w:val="none"/>
          <w:lang w:val="zh-CN"/>
        </w:rPr>
        <w:t xml:space="preserve"> 招收学术型硕士研究生教师应满足以下条件：</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 具有副教授（副研究员）及以上职称，或具有博士学位的讲师（助理研究员）。</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2.主持科研课题，20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到位科研经费总额不少于</w:t>
      </w:r>
      <w:r>
        <w:rPr>
          <w:rFonts w:hint="eastAsia" w:ascii="仿宋" w:hAnsi="仿宋" w:eastAsia="仿宋" w:cs="黑体"/>
          <w:sz w:val="32"/>
          <w:szCs w:val="32"/>
          <w:highlight w:val="none"/>
          <w:lang w:val="en-US" w:eastAsia="zh-CN"/>
        </w:rPr>
        <w:t>20</w:t>
      </w:r>
      <w:r>
        <w:rPr>
          <w:rFonts w:hint="eastAsia" w:ascii="仿宋" w:hAnsi="仿宋" w:eastAsia="仿宋" w:cs="黑体"/>
          <w:sz w:val="32"/>
          <w:szCs w:val="32"/>
          <w:highlight w:val="none"/>
          <w:lang w:val="zh-CN"/>
        </w:rPr>
        <w:t>万元（不含学校下达的科研经费）。</w:t>
      </w:r>
    </w:p>
    <w:p>
      <w:pPr>
        <w:widowControl/>
        <w:spacing w:line="540" w:lineRule="exact"/>
        <w:ind w:firstLine="640" w:firstLineChars="200"/>
        <w:outlineLvl w:val="1"/>
        <w:rPr>
          <w:rFonts w:hint="default" w:ascii="仿宋_GB2312" w:hAnsi="仿宋" w:eastAsia="仿宋_GB2312"/>
          <w:sz w:val="32"/>
          <w:szCs w:val="32"/>
          <w:lang w:val="en-US" w:eastAsia="zh-CN"/>
        </w:rPr>
      </w:pPr>
      <w:r>
        <w:rPr>
          <w:rFonts w:hint="eastAsia" w:ascii="仿宋" w:hAnsi="仿宋" w:eastAsia="仿宋" w:cs="黑体"/>
          <w:sz w:val="32"/>
          <w:szCs w:val="32"/>
          <w:highlight w:val="none"/>
          <w:lang w:val="zh-CN"/>
        </w:rPr>
        <w:t>3. 20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w:t>
      </w:r>
      <w:r>
        <w:rPr>
          <w:rFonts w:hint="eastAsia" w:ascii="仿宋_GB2312" w:hAnsi="仿宋" w:eastAsia="仿宋_GB2312"/>
          <w:sz w:val="32"/>
          <w:szCs w:val="32"/>
        </w:rPr>
        <w:t>在学校</w:t>
      </w:r>
      <w:r>
        <w:rPr>
          <w:rFonts w:hint="eastAsia" w:ascii="仿宋_GB2312" w:hAnsi="仿宋" w:eastAsia="仿宋_GB2312"/>
          <w:sz w:val="32"/>
          <w:szCs w:val="32"/>
          <w:lang w:eastAsia="zh-CN"/>
        </w:rPr>
        <w:t>和学院</w:t>
      </w:r>
      <w:r>
        <w:rPr>
          <w:rFonts w:hint="eastAsia" w:ascii="仿宋_GB2312" w:hAnsi="仿宋" w:eastAsia="仿宋_GB2312"/>
          <w:sz w:val="32"/>
          <w:szCs w:val="32"/>
        </w:rPr>
        <w:t>高质量期刊发表学术论文不少于</w:t>
      </w:r>
      <w:r>
        <w:rPr>
          <w:rFonts w:hint="eastAsia" w:ascii="仿宋_GB2312" w:hAnsi="仿宋" w:eastAsia="仿宋_GB2312"/>
          <w:sz w:val="32"/>
          <w:szCs w:val="32"/>
          <w:lang w:val="en-US" w:eastAsia="zh-CN"/>
        </w:rPr>
        <w:t>2</w:t>
      </w:r>
      <w:r>
        <w:rPr>
          <w:rFonts w:hint="eastAsia" w:ascii="仿宋_GB2312" w:hAnsi="仿宋" w:eastAsia="仿宋_GB2312"/>
          <w:sz w:val="32"/>
          <w:szCs w:val="32"/>
        </w:rPr>
        <w:t>篇，或</w:t>
      </w:r>
      <w:r>
        <w:rPr>
          <w:rFonts w:hint="eastAsia" w:ascii="仿宋_GB2312" w:hAnsi="仿宋" w:eastAsia="仿宋_GB2312"/>
          <w:sz w:val="32"/>
          <w:szCs w:val="32"/>
          <w:lang w:val="en-US" w:eastAsia="zh-CN"/>
        </w:rPr>
        <w:t>A类期刊</w:t>
      </w:r>
      <w:r>
        <w:rPr>
          <w:rFonts w:hint="eastAsia" w:ascii="仿宋_GB2312" w:hAnsi="仿宋" w:eastAsia="仿宋_GB2312"/>
          <w:sz w:val="32"/>
          <w:szCs w:val="32"/>
        </w:rPr>
        <w:t>及以上论文1篇</w:t>
      </w:r>
      <w:r>
        <w:rPr>
          <w:rFonts w:hint="eastAsia" w:ascii="仿宋_GB2312" w:hAnsi="仿宋" w:eastAsia="仿宋_GB2312"/>
          <w:sz w:val="32"/>
          <w:szCs w:val="32"/>
          <w:lang w:eastAsia="zh-CN"/>
        </w:rPr>
        <w:t>，</w:t>
      </w:r>
      <w:r>
        <w:rPr>
          <w:rFonts w:hint="eastAsia" w:ascii="仿宋_GB2312" w:hAnsi="仿宋" w:eastAsia="仿宋_GB2312"/>
          <w:sz w:val="32"/>
          <w:szCs w:val="32"/>
        </w:rPr>
        <w:t>或中科院大类</w:t>
      </w:r>
      <w:r>
        <w:rPr>
          <w:rFonts w:hint="eastAsia" w:ascii="仿宋_GB2312" w:hAnsi="仿宋" w:eastAsia="仿宋_GB2312"/>
          <w:sz w:val="32"/>
          <w:szCs w:val="32"/>
          <w:lang w:val="en-US" w:eastAsia="zh-CN"/>
        </w:rPr>
        <w:t>二</w:t>
      </w:r>
      <w:r>
        <w:rPr>
          <w:rFonts w:hint="eastAsia" w:ascii="仿宋_GB2312" w:hAnsi="仿宋" w:eastAsia="仿宋_GB2312"/>
          <w:sz w:val="32"/>
          <w:szCs w:val="32"/>
        </w:rPr>
        <w:t>区</w:t>
      </w:r>
      <w:r>
        <w:rPr>
          <w:rFonts w:hint="eastAsia" w:ascii="仿宋_GB2312" w:hAnsi="仿宋" w:eastAsia="仿宋_GB2312"/>
          <w:sz w:val="32"/>
          <w:szCs w:val="32"/>
          <w:lang w:val="en-US" w:eastAsia="zh-CN"/>
        </w:rPr>
        <w:t>TOP期刊</w:t>
      </w:r>
      <w:r>
        <w:rPr>
          <w:rFonts w:hint="eastAsia" w:ascii="仿宋_GB2312" w:hAnsi="仿宋" w:eastAsia="仿宋_GB2312"/>
          <w:sz w:val="32"/>
          <w:szCs w:val="32"/>
        </w:rPr>
        <w:t>及以上论文1篇</w:t>
      </w:r>
      <w:r>
        <w:rPr>
          <w:rFonts w:hint="eastAsia" w:ascii="仿宋" w:hAnsi="仿宋" w:eastAsia="仿宋" w:cs="黑体"/>
          <w:sz w:val="32"/>
          <w:szCs w:val="32"/>
          <w:highlight w:val="none"/>
          <w:lang w:val="zh-CN" w:bidi="ar"/>
        </w:rPr>
        <w:t>；</w:t>
      </w:r>
      <w:r>
        <w:rPr>
          <w:rFonts w:hint="eastAsia" w:ascii="仿宋" w:hAnsi="仿宋" w:eastAsia="仿宋" w:cs="黑体"/>
          <w:sz w:val="32"/>
          <w:szCs w:val="32"/>
          <w:highlight w:val="none"/>
          <w:lang w:val="zh-CN"/>
        </w:rPr>
        <w:t>或获批省部级以上科研成果奖1项；</w:t>
      </w:r>
      <w:r>
        <w:rPr>
          <w:rFonts w:hint="eastAsia" w:ascii="仿宋_GB2312" w:hAnsi="仿宋" w:eastAsia="仿宋_GB2312"/>
          <w:sz w:val="32"/>
          <w:szCs w:val="32"/>
          <w:lang w:val="zh-CN"/>
        </w:rPr>
        <w:t>或</w:t>
      </w:r>
      <w:r>
        <w:rPr>
          <w:rFonts w:hint="eastAsia" w:ascii="仿宋_GB2312" w:hAnsi="仿宋" w:eastAsia="仿宋_GB2312"/>
          <w:sz w:val="32"/>
          <w:szCs w:val="32"/>
        </w:rPr>
        <w:t>指导</w:t>
      </w:r>
      <w:r>
        <w:rPr>
          <w:rFonts w:hint="eastAsia" w:ascii="仿宋_GB2312" w:hAnsi="仿宋" w:eastAsia="仿宋_GB2312"/>
          <w:sz w:val="32"/>
          <w:szCs w:val="32"/>
          <w:lang w:val="en-US" w:eastAsia="zh-CN"/>
        </w:rPr>
        <w:t>研究生获得省级及以上创新创业类竞赛一等奖及以上。</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第六条</w:t>
      </w:r>
      <w:r>
        <w:rPr>
          <w:rFonts w:hint="eastAsia" w:ascii="仿宋" w:hAnsi="仿宋" w:eastAsia="仿宋" w:cs="黑体"/>
          <w:sz w:val="32"/>
          <w:szCs w:val="32"/>
          <w:highlight w:val="none"/>
          <w:lang w:val="zh-CN"/>
        </w:rPr>
        <w:t xml:space="preserve"> 招收兽医硕士研究生教师应满足以下条件：</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1.具有副教授（副研究员）及以上职称，或具有博士学位的讲师（助理研究员）。</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2.能够提供培养专业学位硕士研究生的实践基地，并能配备校外合作导师。</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3.承担科研或推广项目，20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到位科研经费不少于1</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万元（不含学校下达的经费）。</w:t>
      </w:r>
    </w:p>
    <w:p>
      <w:pPr>
        <w:widowControl/>
        <w:spacing w:line="540" w:lineRule="exact"/>
        <w:ind w:firstLine="640" w:firstLineChars="200"/>
        <w:outlineLvl w:val="1"/>
        <w:rPr>
          <w:rFonts w:hint="eastAsia" w:ascii="仿宋" w:hAnsi="仿宋" w:eastAsia="仿宋" w:cs="黑体"/>
          <w:sz w:val="32"/>
          <w:szCs w:val="32"/>
          <w:highlight w:val="none"/>
          <w:lang w:val="zh-CN"/>
        </w:rPr>
      </w:pPr>
      <w:r>
        <w:rPr>
          <w:rFonts w:hint="eastAsia" w:ascii="仿宋" w:hAnsi="仿宋" w:eastAsia="仿宋" w:cs="黑体"/>
          <w:sz w:val="32"/>
          <w:szCs w:val="32"/>
          <w:highlight w:val="none"/>
          <w:lang w:val="zh-CN"/>
        </w:rPr>
        <w:t>4.20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以第一作者或通讯作者发表学校和学院高质量期刊论文不少于1篇，</w:t>
      </w:r>
      <w:r>
        <w:rPr>
          <w:rFonts w:hint="eastAsia" w:ascii="仿宋_GB2312" w:hAnsi="仿宋" w:eastAsia="仿宋_GB2312"/>
          <w:sz w:val="32"/>
          <w:szCs w:val="32"/>
        </w:rPr>
        <w:t>或中科院大类</w:t>
      </w:r>
      <w:r>
        <w:rPr>
          <w:rFonts w:hint="eastAsia" w:ascii="仿宋_GB2312" w:hAnsi="仿宋" w:eastAsia="仿宋_GB2312"/>
          <w:sz w:val="32"/>
          <w:szCs w:val="32"/>
          <w:lang w:val="en-US" w:eastAsia="zh-CN"/>
        </w:rPr>
        <w:t>二</w:t>
      </w:r>
      <w:r>
        <w:rPr>
          <w:rFonts w:hint="eastAsia" w:ascii="仿宋_GB2312" w:hAnsi="仿宋" w:eastAsia="仿宋_GB2312"/>
          <w:sz w:val="32"/>
          <w:szCs w:val="32"/>
        </w:rPr>
        <w:t>区</w:t>
      </w:r>
      <w:r>
        <w:rPr>
          <w:rFonts w:hint="eastAsia" w:ascii="仿宋_GB2312" w:hAnsi="仿宋" w:eastAsia="仿宋_GB2312"/>
          <w:sz w:val="32"/>
          <w:szCs w:val="32"/>
          <w:lang w:val="en-US" w:eastAsia="zh-CN"/>
        </w:rPr>
        <w:t>TOP期刊</w:t>
      </w:r>
      <w:r>
        <w:rPr>
          <w:rFonts w:hint="eastAsia" w:ascii="仿宋_GB2312" w:hAnsi="仿宋" w:eastAsia="仿宋_GB2312"/>
          <w:sz w:val="32"/>
          <w:szCs w:val="32"/>
        </w:rPr>
        <w:t>及以上论文1篇</w:t>
      </w:r>
      <w:r>
        <w:rPr>
          <w:rFonts w:hint="eastAsia" w:ascii="仿宋_GB2312" w:hAnsi="仿宋" w:eastAsia="仿宋_GB2312"/>
          <w:sz w:val="32"/>
          <w:szCs w:val="32"/>
          <w:lang w:eastAsia="zh-CN"/>
        </w:rPr>
        <w:t>，</w:t>
      </w:r>
      <w:r>
        <w:rPr>
          <w:rFonts w:hint="eastAsia" w:ascii="仿宋" w:hAnsi="仿宋" w:eastAsia="仿宋" w:cs="黑体"/>
          <w:sz w:val="32"/>
          <w:szCs w:val="32"/>
          <w:highlight w:val="none"/>
          <w:lang w:val="zh-CN"/>
        </w:rPr>
        <w:t>或获批发明专利不少于</w:t>
      </w:r>
      <w:r>
        <w:rPr>
          <w:rFonts w:hint="eastAsia" w:ascii="仿宋" w:hAnsi="仿宋" w:eastAsia="仿宋" w:cs="黑体"/>
          <w:sz w:val="32"/>
          <w:szCs w:val="32"/>
          <w:highlight w:val="none"/>
        </w:rPr>
        <w:t>1项</w:t>
      </w:r>
      <w:r>
        <w:rPr>
          <w:rFonts w:hint="eastAsia" w:ascii="仿宋" w:hAnsi="仿宋" w:eastAsia="仿宋" w:cs="黑体"/>
          <w:sz w:val="32"/>
          <w:szCs w:val="32"/>
          <w:highlight w:val="none"/>
          <w:lang w:eastAsia="zh-CN"/>
        </w:rPr>
        <w:t>；</w:t>
      </w:r>
      <w:r>
        <w:rPr>
          <w:rFonts w:hint="eastAsia" w:ascii="仿宋_GB2312" w:hAnsi="仿宋" w:eastAsia="仿宋_GB2312"/>
          <w:sz w:val="32"/>
          <w:szCs w:val="32"/>
          <w:lang w:val="zh-CN"/>
        </w:rPr>
        <w:t>或</w:t>
      </w:r>
      <w:r>
        <w:rPr>
          <w:rFonts w:hint="eastAsia" w:ascii="仿宋_GB2312" w:hAnsi="仿宋" w:eastAsia="仿宋_GB2312"/>
          <w:sz w:val="32"/>
          <w:szCs w:val="32"/>
        </w:rPr>
        <w:t>指导</w:t>
      </w:r>
      <w:r>
        <w:rPr>
          <w:rFonts w:hint="eastAsia" w:ascii="仿宋_GB2312" w:hAnsi="仿宋" w:eastAsia="仿宋_GB2312"/>
          <w:sz w:val="32"/>
          <w:szCs w:val="32"/>
          <w:lang w:val="en-US" w:eastAsia="zh-CN"/>
        </w:rPr>
        <w:t>研究生获得省级及以上创新创业类竞赛一等奖及以上</w:t>
      </w:r>
      <w:r>
        <w:rPr>
          <w:rFonts w:hint="eastAsia" w:ascii="仿宋" w:hAnsi="仿宋" w:eastAsia="仿宋" w:cs="黑体"/>
          <w:sz w:val="32"/>
          <w:szCs w:val="32"/>
          <w:highlight w:val="none"/>
          <w:lang w:val="zh-CN"/>
        </w:rPr>
        <w:t>。</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第七条</w:t>
      </w:r>
      <w:r>
        <w:rPr>
          <w:rFonts w:hint="eastAsia" w:ascii="仿宋" w:hAnsi="仿宋" w:eastAsia="仿宋" w:cs="黑体"/>
          <w:sz w:val="32"/>
          <w:szCs w:val="32"/>
          <w:highlight w:val="none"/>
          <w:lang w:val="zh-CN"/>
        </w:rPr>
        <w:t xml:space="preserve"> 引进人才，经学校建议聘为导师的，来校工作3年内不受第三条、第四条、第五条和第六条的限制。</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第八条</w:t>
      </w:r>
      <w:r>
        <w:rPr>
          <w:rFonts w:hint="eastAsia" w:ascii="仿宋" w:hAnsi="仿宋" w:eastAsia="仿宋" w:cs="黑体"/>
          <w:sz w:val="32"/>
          <w:szCs w:val="32"/>
          <w:highlight w:val="none"/>
          <w:lang w:val="zh-CN"/>
        </w:rPr>
        <w:t xml:space="preserve"> 外聘导师基本条件：</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原则上不允许校外人员作为第一导师招收指导我校研究生。确因学科发展和人才培养需要聘请校外导师指导博士生者，原则上须与学校签订协议，并由本人申请参加我校导师资格审核；审核条件、审核程序与校内人员相同，且每年最多只能招收</w:t>
      </w:r>
      <w:r>
        <w:rPr>
          <w:rFonts w:ascii="仿宋" w:hAnsi="仿宋" w:eastAsia="仿宋" w:cs="黑体"/>
          <w:sz w:val="32"/>
          <w:szCs w:val="32"/>
          <w:highlight w:val="none"/>
          <w:lang w:val="zh-CN"/>
        </w:rPr>
        <w:t>1名博士研究生。</w:t>
      </w:r>
    </w:p>
    <w:p>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外聘导师必须配备具备当年招生资格的校内第二导师，由校内第二导师负责落实外聘导师所招收研究生的培养经费，并负责研究生的日常管理。外聘导师在研究生培养方面须履行我校导师岗位职责。</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第九条</w:t>
      </w:r>
      <w:r>
        <w:rPr>
          <w:rFonts w:hint="eastAsia" w:ascii="仿宋" w:hAnsi="仿宋" w:eastAsia="仿宋" w:cs="黑体"/>
          <w:sz w:val="32"/>
          <w:szCs w:val="32"/>
          <w:highlight w:val="none"/>
          <w:lang w:val="zh-CN"/>
        </w:rPr>
        <w:t xml:space="preserve"> 导师原则上只能在1个一级学科（专业学位不超过2个类别或领域）下提出博士或硕士招生申请。根据学科交叉人才培养需要，导师可提出跨一级学科招生申请，经所跨学科学位评定分委员会审核同意，并确定所跨学科的第二导师，报学校审核批准后可跨学科招生。</w:t>
      </w:r>
    </w:p>
    <w:p>
      <w:pPr>
        <w:widowControl/>
        <w:spacing w:line="540" w:lineRule="exact"/>
        <w:ind w:firstLine="643" w:firstLineChars="200"/>
        <w:outlineLvl w:val="1"/>
        <w:rPr>
          <w:rFonts w:hint="eastAsia" w:ascii="仿宋" w:hAnsi="仿宋" w:eastAsia="仿宋" w:cs="黑体"/>
          <w:b/>
          <w:bCs/>
          <w:sz w:val="32"/>
          <w:szCs w:val="32"/>
          <w:highlight w:val="none"/>
          <w:lang w:val="zh-CN"/>
        </w:rPr>
      </w:pPr>
      <w:r>
        <w:rPr>
          <w:rFonts w:hint="eastAsia" w:ascii="仿宋" w:hAnsi="仿宋" w:eastAsia="仿宋" w:cs="黑体"/>
          <w:b/>
          <w:bCs/>
          <w:sz w:val="32"/>
          <w:szCs w:val="32"/>
          <w:highlight w:val="none"/>
          <w:lang w:val="zh-CN"/>
        </w:rPr>
        <w:t xml:space="preserve">第十条 </w:t>
      </w:r>
      <w:r>
        <w:rPr>
          <w:rFonts w:hint="eastAsia" w:ascii="仿宋" w:hAnsi="仿宋" w:eastAsia="仿宋" w:cs="黑体"/>
          <w:b w:val="0"/>
          <w:bCs w:val="0"/>
          <w:sz w:val="32"/>
          <w:szCs w:val="32"/>
          <w:highlight w:val="none"/>
          <w:lang w:val="zh-CN"/>
        </w:rPr>
        <w:t>发表论文须是西北农林科技大学为第一署名单位，申请人为第一作者或通讯作者，共同第一作者或通讯作者均为我院教职工的只能由一人用于审核。发表本学科重要研究论文（</w:t>
      </w:r>
      <w:r>
        <w:rPr>
          <w:rFonts w:hint="eastAsia" w:ascii="仿宋" w:hAnsi="仿宋" w:eastAsia="仿宋" w:cs="黑体"/>
          <w:b w:val="0"/>
          <w:bCs w:val="0"/>
          <w:sz w:val="32"/>
          <w:szCs w:val="32"/>
          <w:highlight w:val="none"/>
          <w:lang w:val="en-US" w:eastAsia="zh-CN"/>
        </w:rPr>
        <w:t>G1</w:t>
      </w:r>
      <w:r>
        <w:rPr>
          <w:rFonts w:hint="eastAsia" w:ascii="仿宋" w:hAnsi="仿宋" w:eastAsia="仿宋" w:cs="黑体"/>
          <w:b w:val="0"/>
          <w:bCs w:val="0"/>
          <w:sz w:val="32"/>
          <w:szCs w:val="32"/>
          <w:highlight w:val="none"/>
          <w:lang w:val="zh-CN"/>
        </w:rPr>
        <w:t>期刊），可认定任意署名单位排名的共同通讯作者，及西北农林科技大学第一署名单位、排名前三的共同第一作者。</w:t>
      </w:r>
    </w:p>
    <w:p>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第十</w:t>
      </w:r>
      <w:r>
        <w:rPr>
          <w:rFonts w:hint="eastAsia" w:ascii="仿宋" w:hAnsi="仿宋" w:eastAsia="仿宋" w:cs="黑体"/>
          <w:b/>
          <w:bCs/>
          <w:sz w:val="32"/>
          <w:szCs w:val="32"/>
          <w:highlight w:val="none"/>
          <w:lang w:val="en-US" w:eastAsia="zh-CN"/>
        </w:rPr>
        <w:t>一</w:t>
      </w:r>
      <w:r>
        <w:rPr>
          <w:rFonts w:hint="eastAsia" w:ascii="仿宋" w:hAnsi="仿宋" w:eastAsia="仿宋" w:cs="黑体"/>
          <w:b/>
          <w:bCs/>
          <w:sz w:val="32"/>
          <w:szCs w:val="32"/>
          <w:highlight w:val="none"/>
          <w:lang w:val="zh-CN"/>
        </w:rPr>
        <w:t>条</w:t>
      </w:r>
      <w:r>
        <w:rPr>
          <w:rFonts w:hint="eastAsia" w:ascii="仿宋" w:hAnsi="仿宋" w:eastAsia="仿宋" w:cs="黑体"/>
          <w:sz w:val="32"/>
          <w:szCs w:val="32"/>
          <w:highlight w:val="none"/>
          <w:lang w:val="zh-CN"/>
        </w:rPr>
        <w:t xml:space="preserve"> 每年上半年进行招收研究生教师审核，按照个人申报、学院依据审核条件对申请人材料进行审核，严格执行师德师风问题“一票否决制”。申请人在认定过程中提供虚假材料的，一经查实，取消当年申请资格。对于初次申请招收培养博士、硕士研究生的教师，培养单位应组织专家对其学术水平和指导研究生能力进行答辩评审。学位评定分委员会对申请人材料进行审核评议，获得参会成员2/3以上同意者视为通过。审核通过的导师名单须在本单位进行公示，时间不少于5个工作日。</w:t>
      </w:r>
    </w:p>
    <w:p>
      <w:pPr>
        <w:widowControl/>
        <w:spacing w:line="540" w:lineRule="exact"/>
        <w:ind w:firstLine="643" w:firstLineChars="200"/>
        <w:outlineLvl w:val="1"/>
        <w:rPr>
          <w:rFonts w:hint="eastAsia" w:ascii="仿宋" w:hAnsi="仿宋" w:eastAsia="仿宋" w:cs="黑体"/>
          <w:sz w:val="32"/>
          <w:szCs w:val="32"/>
          <w:highlight w:val="none"/>
          <w:lang w:val="en-US" w:eastAsia="zh-CN"/>
        </w:rPr>
      </w:pPr>
      <w:r>
        <w:rPr>
          <w:rFonts w:hint="eastAsia" w:ascii="仿宋" w:hAnsi="仿宋" w:eastAsia="仿宋" w:cs="黑体"/>
          <w:b/>
          <w:bCs/>
          <w:sz w:val="32"/>
          <w:szCs w:val="32"/>
          <w:highlight w:val="none"/>
          <w:lang w:val="zh-CN"/>
        </w:rPr>
        <w:t>第十</w:t>
      </w:r>
      <w:r>
        <w:rPr>
          <w:rFonts w:hint="eastAsia" w:ascii="仿宋" w:hAnsi="仿宋" w:eastAsia="仿宋" w:cs="黑体"/>
          <w:b/>
          <w:bCs/>
          <w:sz w:val="32"/>
          <w:szCs w:val="32"/>
          <w:highlight w:val="none"/>
          <w:lang w:val="en-US" w:eastAsia="zh-CN"/>
        </w:rPr>
        <w:t>二</w:t>
      </w:r>
      <w:r>
        <w:rPr>
          <w:rFonts w:hint="eastAsia" w:ascii="仿宋" w:hAnsi="仿宋" w:eastAsia="仿宋" w:cs="黑体"/>
          <w:b/>
          <w:bCs/>
          <w:sz w:val="32"/>
          <w:szCs w:val="32"/>
          <w:highlight w:val="none"/>
          <w:lang w:val="zh-CN"/>
        </w:rPr>
        <w:t>条</w:t>
      </w:r>
      <w:r>
        <w:rPr>
          <w:rFonts w:hint="eastAsia" w:ascii="仿宋" w:hAnsi="仿宋" w:eastAsia="仿宋" w:cs="黑体"/>
          <w:sz w:val="32"/>
          <w:szCs w:val="32"/>
          <w:highlight w:val="none"/>
          <w:lang w:val="zh-CN"/>
        </w:rPr>
        <w:t xml:space="preserve"> </w:t>
      </w:r>
      <w:r>
        <w:rPr>
          <w:rFonts w:hint="eastAsia" w:ascii="仿宋" w:hAnsi="仿宋" w:eastAsia="仿宋" w:cs="黑体"/>
          <w:sz w:val="32"/>
          <w:szCs w:val="32"/>
          <w:highlight w:val="none"/>
          <w:lang w:val="en-US" w:eastAsia="zh-CN"/>
        </w:rPr>
        <w:t>连续三年</w:t>
      </w:r>
      <w:r>
        <w:rPr>
          <w:rFonts w:hint="eastAsia" w:ascii="仿宋" w:hAnsi="仿宋" w:eastAsia="仿宋" w:cs="黑体"/>
          <w:sz w:val="32"/>
          <w:szCs w:val="32"/>
          <w:highlight w:val="none"/>
          <w:lang w:val="zh-CN"/>
        </w:rPr>
        <w:t>研究生导师评价</w:t>
      </w:r>
      <w:r>
        <w:rPr>
          <w:rFonts w:hint="eastAsia" w:ascii="仿宋" w:hAnsi="仿宋" w:eastAsia="仿宋" w:cs="黑体"/>
          <w:sz w:val="32"/>
          <w:szCs w:val="32"/>
          <w:highlight w:val="none"/>
          <w:lang w:val="en-US" w:eastAsia="zh-CN"/>
        </w:rPr>
        <w:t>排名后5%，核减招生指标。</w:t>
      </w:r>
    </w:p>
    <w:p>
      <w:pPr>
        <w:keepNext w:val="0"/>
        <w:keepLines w:val="0"/>
        <w:widowControl/>
        <w:suppressLineNumbers w:val="0"/>
        <w:spacing w:line="540" w:lineRule="exact"/>
        <w:ind w:firstLine="643" w:firstLineChars="200"/>
        <w:jc w:val="left"/>
      </w:pPr>
      <w:r>
        <w:rPr>
          <w:rFonts w:hint="eastAsia" w:ascii="仿宋" w:hAnsi="仿宋" w:eastAsia="仿宋" w:cs="黑体"/>
          <w:b/>
          <w:bCs/>
          <w:sz w:val="32"/>
          <w:szCs w:val="32"/>
          <w:highlight w:val="none"/>
          <w:lang w:val="en-US" w:eastAsia="zh-CN"/>
        </w:rPr>
        <w:t>第十三条</w:t>
      </w:r>
      <w:r>
        <w:rPr>
          <w:rFonts w:hint="eastAsia" w:ascii="仿宋" w:hAnsi="仿宋" w:eastAsia="仿宋" w:cs="黑体"/>
          <w:sz w:val="32"/>
          <w:szCs w:val="32"/>
          <w:highlight w:val="none"/>
          <w:lang w:val="en-US" w:eastAsia="zh-CN"/>
        </w:rPr>
        <w:t xml:space="preserve"> 近三年，</w:t>
      </w:r>
      <w:r>
        <w:rPr>
          <w:rFonts w:hint="eastAsia" w:ascii="仿宋" w:hAnsi="仿宋" w:eastAsia="仿宋" w:cs="黑体"/>
          <w:sz w:val="32"/>
          <w:szCs w:val="32"/>
          <w:highlight w:val="none"/>
          <w:lang w:val="zh-CN"/>
        </w:rPr>
        <w:t>指导博士研究生学位论文累计2篇盲审结果均为三分之二及以上不通过的导师，暂停招收各类研究生1年；</w:t>
      </w:r>
      <w:r>
        <w:rPr>
          <w:rFonts w:hint="eastAsia" w:ascii="仿宋" w:hAnsi="仿宋" w:eastAsia="仿宋" w:cs="黑体"/>
          <w:sz w:val="32"/>
          <w:szCs w:val="32"/>
          <w:highlight w:val="none"/>
          <w:lang w:val="en-US" w:eastAsia="zh-CN"/>
        </w:rPr>
        <w:t>近三年，</w:t>
      </w:r>
      <w:r>
        <w:rPr>
          <w:rFonts w:hint="eastAsia" w:ascii="仿宋" w:hAnsi="仿宋" w:eastAsia="仿宋" w:cs="黑体"/>
          <w:sz w:val="32"/>
          <w:szCs w:val="32"/>
          <w:highlight w:val="none"/>
          <w:lang w:val="zh-CN"/>
        </w:rPr>
        <w:t>指导硕士研究生学位论文累计2篇盲审结果均为三分之二及以上不通过的导师，暂停招收相应类型的硕士生1年；</w:t>
      </w:r>
      <w:r>
        <w:rPr>
          <w:rFonts w:hint="eastAsia" w:ascii="仿宋" w:hAnsi="仿宋" w:eastAsia="仿宋" w:cs="黑体"/>
          <w:sz w:val="32"/>
          <w:szCs w:val="32"/>
          <w:highlight w:val="none"/>
          <w:lang w:val="en-US" w:eastAsia="zh-CN"/>
        </w:rPr>
        <w:t>近三年，</w:t>
      </w:r>
      <w:r>
        <w:rPr>
          <w:rFonts w:ascii="仿宋" w:hAnsi="仿宋" w:eastAsia="仿宋" w:cs="仿宋"/>
          <w:color w:val="000000"/>
          <w:kern w:val="0"/>
          <w:sz w:val="31"/>
          <w:szCs w:val="31"/>
          <w:lang w:val="en-US" w:eastAsia="zh-CN" w:bidi="ar"/>
        </w:rPr>
        <w:t>指导的专业学位研究生实践环节考核不合格</w:t>
      </w:r>
      <w:r>
        <w:rPr>
          <w:rFonts w:hint="eastAsia" w:ascii="仿宋" w:hAnsi="仿宋" w:eastAsia="仿宋" w:cs="黑体"/>
          <w:sz w:val="32"/>
          <w:szCs w:val="32"/>
          <w:highlight w:val="none"/>
          <w:lang w:val="zh-CN"/>
        </w:rPr>
        <w:t>累计2名及以上</w:t>
      </w:r>
      <w:r>
        <w:rPr>
          <w:rFonts w:hint="eastAsia" w:ascii="仿宋" w:hAnsi="仿宋" w:eastAsia="仿宋" w:cs="仿宋"/>
          <w:color w:val="000000"/>
          <w:kern w:val="0"/>
          <w:sz w:val="31"/>
          <w:szCs w:val="31"/>
          <w:lang w:val="en-US" w:eastAsia="zh-CN" w:bidi="ar"/>
        </w:rPr>
        <w:t>，暂停</w:t>
      </w:r>
      <w:r>
        <w:rPr>
          <w:rFonts w:hint="eastAsia" w:ascii="仿宋" w:hAnsi="仿宋" w:eastAsia="仿宋" w:cs="黑体"/>
          <w:sz w:val="32"/>
          <w:szCs w:val="32"/>
          <w:highlight w:val="none"/>
          <w:lang w:val="zh-CN"/>
        </w:rPr>
        <w:t>招收</w:t>
      </w:r>
      <w:r>
        <w:rPr>
          <w:rFonts w:hint="eastAsia" w:ascii="仿宋" w:hAnsi="仿宋" w:eastAsia="仿宋" w:cs="仿宋"/>
          <w:color w:val="000000"/>
          <w:kern w:val="0"/>
          <w:sz w:val="31"/>
          <w:szCs w:val="31"/>
          <w:lang w:val="en-US" w:eastAsia="zh-CN" w:bidi="ar"/>
        </w:rPr>
        <w:t xml:space="preserve">专业学位研究生1年。 </w:t>
      </w:r>
    </w:p>
    <w:p>
      <w:pPr>
        <w:widowControl/>
        <w:spacing w:line="540" w:lineRule="exact"/>
        <w:ind w:firstLine="643" w:firstLineChars="200"/>
        <w:outlineLvl w:val="1"/>
        <w:rPr>
          <w:rFonts w:hint="eastAsia" w:ascii="仿宋" w:hAnsi="仿宋" w:eastAsia="仿宋" w:cs="黑体"/>
          <w:sz w:val="32"/>
          <w:szCs w:val="32"/>
          <w:highlight w:val="none"/>
          <w:lang w:val="zh-CN" w:eastAsia="zh-CN"/>
        </w:rPr>
      </w:pPr>
      <w:r>
        <w:rPr>
          <w:rFonts w:hint="eastAsia" w:ascii="仿宋" w:hAnsi="仿宋" w:eastAsia="仿宋" w:cs="黑体"/>
          <w:b/>
          <w:bCs/>
          <w:sz w:val="32"/>
          <w:szCs w:val="32"/>
          <w:highlight w:val="none"/>
          <w:lang w:val="en-US" w:eastAsia="zh-CN"/>
        </w:rPr>
        <w:t>第十四条</w:t>
      </w:r>
      <w:r>
        <w:rPr>
          <w:rFonts w:hint="eastAsia" w:ascii="仿宋" w:hAnsi="仿宋" w:eastAsia="仿宋" w:cs="黑体"/>
          <w:sz w:val="32"/>
          <w:szCs w:val="32"/>
          <w:highlight w:val="none"/>
          <w:lang w:val="en-US" w:eastAsia="zh-CN"/>
        </w:rPr>
        <w:t xml:space="preserve"> </w:t>
      </w:r>
      <w:r>
        <w:rPr>
          <w:rFonts w:hint="eastAsia" w:ascii="仿宋" w:hAnsi="仿宋" w:eastAsia="仿宋" w:cs="黑体"/>
          <w:sz w:val="32"/>
          <w:szCs w:val="32"/>
          <w:highlight w:val="none"/>
          <w:lang w:val="zh-CN"/>
        </w:rPr>
        <w:t>所指导研究生连续三年初次就业率低于50%的</w:t>
      </w:r>
      <w:r>
        <w:rPr>
          <w:rFonts w:hint="eastAsia" w:ascii="仿宋" w:hAnsi="仿宋" w:eastAsia="仿宋" w:cs="黑体"/>
          <w:sz w:val="32"/>
          <w:szCs w:val="32"/>
          <w:highlight w:val="none"/>
          <w:lang w:val="zh-CN" w:eastAsia="zh-CN"/>
        </w:rPr>
        <w:t>，</w:t>
      </w:r>
      <w:r>
        <w:rPr>
          <w:rFonts w:hint="eastAsia" w:ascii="仿宋" w:hAnsi="仿宋" w:eastAsia="仿宋" w:cs="黑体"/>
          <w:sz w:val="32"/>
          <w:szCs w:val="32"/>
          <w:highlight w:val="none"/>
          <w:lang w:val="en-US" w:eastAsia="zh-CN"/>
        </w:rPr>
        <w:t>核减招生指标；按照学校规定没有</w:t>
      </w:r>
      <w:r>
        <w:rPr>
          <w:rFonts w:hint="eastAsia" w:ascii="仿宋" w:hAnsi="仿宋" w:eastAsia="仿宋" w:cs="黑体"/>
          <w:sz w:val="32"/>
          <w:szCs w:val="32"/>
          <w:highlight w:val="none"/>
          <w:lang w:val="zh-CN"/>
        </w:rPr>
        <w:t>完</w:t>
      </w:r>
      <w:r>
        <w:rPr>
          <w:rFonts w:hint="default" w:ascii="仿宋" w:hAnsi="仿宋" w:eastAsia="仿宋" w:cs="黑体"/>
          <w:sz w:val="32"/>
          <w:szCs w:val="32"/>
          <w:highlight w:val="none"/>
          <w:lang w:val="zh-CN"/>
        </w:rPr>
        <w:t>成导师培训</w:t>
      </w:r>
      <w:r>
        <w:rPr>
          <w:rFonts w:hint="eastAsia" w:ascii="仿宋" w:hAnsi="仿宋" w:eastAsia="仿宋" w:cs="黑体"/>
          <w:sz w:val="32"/>
          <w:szCs w:val="32"/>
          <w:highlight w:val="none"/>
          <w:lang w:val="zh-CN"/>
        </w:rPr>
        <w:t>，</w:t>
      </w:r>
      <w:r>
        <w:rPr>
          <w:rFonts w:hint="eastAsia" w:ascii="仿宋" w:hAnsi="仿宋" w:eastAsia="仿宋" w:cs="黑体"/>
          <w:sz w:val="32"/>
          <w:szCs w:val="32"/>
          <w:highlight w:val="none"/>
          <w:lang w:val="en-US" w:eastAsia="zh-CN"/>
        </w:rPr>
        <w:t>核减招生指标。</w:t>
      </w:r>
    </w:p>
    <w:p>
      <w:pPr>
        <w:widowControl/>
        <w:spacing w:line="540" w:lineRule="exact"/>
        <w:ind w:firstLine="643" w:firstLineChars="200"/>
        <w:jc w:val="left"/>
        <w:outlineLvl w:val="1"/>
        <w:rPr>
          <w:rFonts w:asciiTheme="majorEastAsia" w:hAnsiTheme="majorEastAsia" w:eastAsiaTheme="majorEastAsia"/>
          <w:sz w:val="28"/>
          <w:szCs w:val="28"/>
          <w:highlight w:val="none"/>
        </w:rPr>
      </w:pPr>
      <w:r>
        <w:rPr>
          <w:rFonts w:hint="eastAsia" w:ascii="仿宋" w:hAnsi="仿宋" w:eastAsia="仿宋" w:cs="黑体"/>
          <w:b/>
          <w:bCs/>
          <w:sz w:val="32"/>
          <w:szCs w:val="32"/>
          <w:highlight w:val="none"/>
          <w:lang w:val="en-US" w:eastAsia="zh-CN"/>
        </w:rPr>
        <w:t xml:space="preserve">第十五条 </w:t>
      </w:r>
      <w:r>
        <w:rPr>
          <w:rFonts w:hint="eastAsia" w:ascii="仿宋" w:hAnsi="仿宋" w:eastAsia="仿宋" w:cs="黑体"/>
          <w:sz w:val="32"/>
          <w:szCs w:val="32"/>
          <w:highlight w:val="none"/>
          <w:lang w:val="zh-CN"/>
        </w:rPr>
        <w:t>本办法自发文之日起执行，由动物医学院负责解释。</w:t>
      </w:r>
    </w:p>
    <w:p>
      <w:pPr>
        <w:rPr>
          <w:rFonts w:asciiTheme="majorEastAsia" w:hAnsiTheme="majorEastAsia" w:eastAsiaTheme="majorEastAsia"/>
          <w:sz w:val="28"/>
          <w:szCs w:val="28"/>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MDZjZDlmNjBiM2M5MzBkNDIyZTBkMmQxY2YwYzAifQ=="/>
  </w:docVars>
  <w:rsids>
    <w:rsidRoot w:val="004E5CF0"/>
    <w:rsid w:val="00000BC3"/>
    <w:rsid w:val="00017436"/>
    <w:rsid w:val="000A7F6E"/>
    <w:rsid w:val="000B7AD5"/>
    <w:rsid w:val="001138B1"/>
    <w:rsid w:val="0011684B"/>
    <w:rsid w:val="00164CD8"/>
    <w:rsid w:val="001C65ED"/>
    <w:rsid w:val="0023567F"/>
    <w:rsid w:val="002565F3"/>
    <w:rsid w:val="002B6166"/>
    <w:rsid w:val="002C7FC6"/>
    <w:rsid w:val="0030313F"/>
    <w:rsid w:val="00327CB1"/>
    <w:rsid w:val="00330FC5"/>
    <w:rsid w:val="003360FB"/>
    <w:rsid w:val="00393152"/>
    <w:rsid w:val="003C11BC"/>
    <w:rsid w:val="003C5EA7"/>
    <w:rsid w:val="00401A77"/>
    <w:rsid w:val="0049268F"/>
    <w:rsid w:val="004D476F"/>
    <w:rsid w:val="004E5CF0"/>
    <w:rsid w:val="0054089E"/>
    <w:rsid w:val="005505A9"/>
    <w:rsid w:val="0056249D"/>
    <w:rsid w:val="005660DB"/>
    <w:rsid w:val="0059641A"/>
    <w:rsid w:val="005B1AF2"/>
    <w:rsid w:val="005B6BBE"/>
    <w:rsid w:val="0062106A"/>
    <w:rsid w:val="0066062A"/>
    <w:rsid w:val="007549AF"/>
    <w:rsid w:val="007A3269"/>
    <w:rsid w:val="007A54A3"/>
    <w:rsid w:val="007D6F71"/>
    <w:rsid w:val="00826E83"/>
    <w:rsid w:val="00831F1C"/>
    <w:rsid w:val="00880AB4"/>
    <w:rsid w:val="008A24D0"/>
    <w:rsid w:val="008A3CC6"/>
    <w:rsid w:val="008C32C6"/>
    <w:rsid w:val="008E25A2"/>
    <w:rsid w:val="008E5E18"/>
    <w:rsid w:val="009023D1"/>
    <w:rsid w:val="009B1547"/>
    <w:rsid w:val="009F4EF0"/>
    <w:rsid w:val="00A13118"/>
    <w:rsid w:val="00A26E9A"/>
    <w:rsid w:val="00A41CDD"/>
    <w:rsid w:val="00A44E0E"/>
    <w:rsid w:val="00A72515"/>
    <w:rsid w:val="00A824ED"/>
    <w:rsid w:val="00AD4AFF"/>
    <w:rsid w:val="00B00EC0"/>
    <w:rsid w:val="00B130B7"/>
    <w:rsid w:val="00B21235"/>
    <w:rsid w:val="00B45FB1"/>
    <w:rsid w:val="00B51DB9"/>
    <w:rsid w:val="00C033DD"/>
    <w:rsid w:val="00C7264B"/>
    <w:rsid w:val="00C75CA7"/>
    <w:rsid w:val="00C97D03"/>
    <w:rsid w:val="00D61E8B"/>
    <w:rsid w:val="00D72B42"/>
    <w:rsid w:val="00DC1486"/>
    <w:rsid w:val="00DD659C"/>
    <w:rsid w:val="00E1590F"/>
    <w:rsid w:val="00E81FD7"/>
    <w:rsid w:val="00E95BF4"/>
    <w:rsid w:val="00EB1AA4"/>
    <w:rsid w:val="00EB5540"/>
    <w:rsid w:val="00FB07DF"/>
    <w:rsid w:val="00FE1F6E"/>
    <w:rsid w:val="03910D49"/>
    <w:rsid w:val="079614F4"/>
    <w:rsid w:val="0A6E4C9D"/>
    <w:rsid w:val="11C566B4"/>
    <w:rsid w:val="18567E5D"/>
    <w:rsid w:val="18585984"/>
    <w:rsid w:val="19CA465F"/>
    <w:rsid w:val="1B814A79"/>
    <w:rsid w:val="1C757DF6"/>
    <w:rsid w:val="1CE04199"/>
    <w:rsid w:val="210A7A37"/>
    <w:rsid w:val="21416110"/>
    <w:rsid w:val="22625733"/>
    <w:rsid w:val="227F211E"/>
    <w:rsid w:val="235122C8"/>
    <w:rsid w:val="23B95317"/>
    <w:rsid w:val="23F77171"/>
    <w:rsid w:val="26612389"/>
    <w:rsid w:val="2AD76BDC"/>
    <w:rsid w:val="2CAE7CE1"/>
    <w:rsid w:val="2DC62F16"/>
    <w:rsid w:val="2EA43279"/>
    <w:rsid w:val="32432DA9"/>
    <w:rsid w:val="336631F3"/>
    <w:rsid w:val="36682321"/>
    <w:rsid w:val="372F1B4E"/>
    <w:rsid w:val="375F68D7"/>
    <w:rsid w:val="385737E1"/>
    <w:rsid w:val="38AE308F"/>
    <w:rsid w:val="3A5E69D2"/>
    <w:rsid w:val="3B5524B0"/>
    <w:rsid w:val="3B8658E3"/>
    <w:rsid w:val="3CCF44E4"/>
    <w:rsid w:val="3F0C094A"/>
    <w:rsid w:val="3F532A2B"/>
    <w:rsid w:val="425F457E"/>
    <w:rsid w:val="47271504"/>
    <w:rsid w:val="4893018E"/>
    <w:rsid w:val="4B493764"/>
    <w:rsid w:val="4DCF4CCA"/>
    <w:rsid w:val="51B657D1"/>
    <w:rsid w:val="51CB2747"/>
    <w:rsid w:val="56D025AE"/>
    <w:rsid w:val="5BFC7B2E"/>
    <w:rsid w:val="5CD361AD"/>
    <w:rsid w:val="5F6A4F1B"/>
    <w:rsid w:val="60C4652F"/>
    <w:rsid w:val="646E4B6B"/>
    <w:rsid w:val="650F74D8"/>
    <w:rsid w:val="67901A6D"/>
    <w:rsid w:val="68476448"/>
    <w:rsid w:val="68882CE8"/>
    <w:rsid w:val="69362744"/>
    <w:rsid w:val="6D3350A5"/>
    <w:rsid w:val="6E5120BA"/>
    <w:rsid w:val="6EBF4F8A"/>
    <w:rsid w:val="6F2B698D"/>
    <w:rsid w:val="70143A11"/>
    <w:rsid w:val="70BB79D3"/>
    <w:rsid w:val="715220E5"/>
    <w:rsid w:val="74174974"/>
    <w:rsid w:val="759929D8"/>
    <w:rsid w:val="767D18D9"/>
    <w:rsid w:val="767D42D1"/>
    <w:rsid w:val="773057FC"/>
    <w:rsid w:val="7872529D"/>
    <w:rsid w:val="78F846CC"/>
    <w:rsid w:val="7D8C697F"/>
    <w:rsid w:val="7D9A1732"/>
    <w:rsid w:val="7DE25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5"/>
    <w:qFormat/>
    <w:uiPriority w:val="0"/>
    <w:rPr>
      <w:rFonts w:ascii="Times New Roman" w:hAnsi="Times New Roman" w:eastAsia="宋体" w:cs="Times New Roman"/>
      <w:sz w:val="18"/>
      <w:szCs w:val="18"/>
    </w:rPr>
  </w:style>
  <w:style w:type="character" w:customStyle="1" w:styleId="11">
    <w:name w:val="页脚 字符"/>
    <w:basedOn w:val="7"/>
    <w:link w:val="4"/>
    <w:semiHidden/>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C990-C6CA-4010-BA00-08DB344683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3148</Words>
  <Characters>3282</Characters>
  <Lines>19</Lines>
  <Paragraphs>5</Paragraphs>
  <TotalTime>8</TotalTime>
  <ScaleCrop>false</ScaleCrop>
  <LinksUpToDate>false</LinksUpToDate>
  <CharactersWithSpaces>3301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2018-06-15T01:27:00Z</dcterms:created>
  <dc:creator>周婷</dc:creator>
  <cp:lastModifiedBy>陈辰</cp:lastModifiedBy>
  <cp:lastPrinted>2023-05-08T07:53:00Z</cp:lastPrinted>
  <dcterms:modified xsi:type="dcterms:W3CDTF">2024-05-08T10:29:10Z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070922A137634F2A912528DAED419AD9_13</vt:lpwstr>
  </property>
</Properties>
</file>