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180B0D" w:rsidRPr="00180B0D" w:rsidTr="00180B0D">
        <w:trPr>
          <w:tblCellSpacing w:w="0" w:type="dxa"/>
        </w:trPr>
        <w:tc>
          <w:tcPr>
            <w:tcW w:w="0" w:type="auto"/>
            <w:shd w:val="clear" w:color="auto" w:fill="FFFFFF"/>
            <w:vAlign w:val="center"/>
            <w:hideMark/>
          </w:tcPr>
          <w:tbl>
            <w:tblPr>
              <w:tblW w:w="4949" w:type="pct"/>
              <w:tblCellSpacing w:w="0" w:type="dxa"/>
              <w:tblCellMar>
                <w:left w:w="0" w:type="dxa"/>
                <w:right w:w="0" w:type="dxa"/>
              </w:tblCellMar>
              <w:tblLook w:val="04A0"/>
            </w:tblPr>
            <w:tblGrid>
              <w:gridCol w:w="8221"/>
            </w:tblGrid>
            <w:tr w:rsidR="00180B0D" w:rsidRPr="00180B0D" w:rsidTr="00180B0D">
              <w:trPr>
                <w:trHeight w:val="555"/>
                <w:tblCellSpacing w:w="0" w:type="dxa"/>
              </w:trPr>
              <w:tc>
                <w:tcPr>
                  <w:tcW w:w="5000" w:type="pct"/>
                  <w:vAlign w:val="center"/>
                  <w:hideMark/>
                </w:tcPr>
                <w:p w:rsidR="00180B0D" w:rsidRDefault="00180B0D" w:rsidP="00180B0D">
                  <w:pPr>
                    <w:widowControl/>
                    <w:spacing w:line="600" w:lineRule="exact"/>
                    <w:jc w:val="center"/>
                    <w:rPr>
                      <w:rFonts w:ascii="宋体" w:eastAsia="宋体" w:hAnsi="宋体" w:cs="宋体" w:hint="eastAsia"/>
                      <w:b/>
                      <w:bCs/>
                      <w:kern w:val="0"/>
                      <w:sz w:val="44"/>
                      <w:szCs w:val="44"/>
                    </w:rPr>
                  </w:pPr>
                  <w:r w:rsidRPr="00180B0D">
                    <w:rPr>
                      <w:rFonts w:ascii="宋体" w:eastAsia="宋体" w:hAnsi="宋体" w:cs="宋体" w:hint="eastAsia"/>
                      <w:b/>
                      <w:bCs/>
                      <w:kern w:val="0"/>
                      <w:sz w:val="44"/>
                      <w:szCs w:val="44"/>
                    </w:rPr>
                    <w:t>教育部 财政部 国家发展改革委</w:t>
                  </w:r>
                </w:p>
                <w:p w:rsidR="00180B0D" w:rsidRDefault="00180B0D" w:rsidP="00180B0D">
                  <w:pPr>
                    <w:widowControl/>
                    <w:spacing w:line="600" w:lineRule="exact"/>
                    <w:jc w:val="center"/>
                    <w:rPr>
                      <w:rFonts w:ascii="宋体" w:eastAsia="宋体" w:hAnsi="宋体" w:cs="宋体" w:hint="eastAsia"/>
                      <w:b/>
                      <w:bCs/>
                      <w:kern w:val="0"/>
                      <w:sz w:val="44"/>
                      <w:szCs w:val="44"/>
                    </w:rPr>
                  </w:pPr>
                  <w:r w:rsidRPr="00180B0D">
                    <w:rPr>
                      <w:rFonts w:ascii="宋体" w:eastAsia="宋体" w:hAnsi="宋体" w:cs="宋体" w:hint="eastAsia"/>
                      <w:b/>
                      <w:bCs/>
                      <w:kern w:val="0"/>
                      <w:sz w:val="44"/>
                      <w:szCs w:val="44"/>
                    </w:rPr>
                    <w:t>印发</w:t>
                  </w:r>
                  <w:proofErr w:type="gramStart"/>
                  <w:r w:rsidRPr="00180B0D">
                    <w:rPr>
                      <w:rFonts w:ascii="宋体" w:eastAsia="宋体" w:hAnsi="宋体" w:cs="宋体" w:hint="eastAsia"/>
                      <w:b/>
                      <w:bCs/>
                      <w:kern w:val="0"/>
                      <w:sz w:val="44"/>
                      <w:szCs w:val="44"/>
                    </w:rPr>
                    <w:t>《</w:t>
                  </w:r>
                  <w:proofErr w:type="gramEnd"/>
                  <w:r w:rsidRPr="00180B0D">
                    <w:rPr>
                      <w:rFonts w:ascii="宋体" w:eastAsia="宋体" w:hAnsi="宋体" w:cs="宋体" w:hint="eastAsia"/>
                      <w:b/>
                      <w:bCs/>
                      <w:kern w:val="0"/>
                      <w:sz w:val="44"/>
                      <w:szCs w:val="44"/>
                    </w:rPr>
                    <w:t>关于高等学校加快“双一流”建设</w:t>
                  </w:r>
                </w:p>
                <w:p w:rsidR="00180B0D" w:rsidRPr="00180B0D" w:rsidRDefault="00180B0D" w:rsidP="00180B0D">
                  <w:pPr>
                    <w:widowControl/>
                    <w:spacing w:line="600" w:lineRule="exact"/>
                    <w:jc w:val="center"/>
                    <w:rPr>
                      <w:rFonts w:ascii="宋体" w:eastAsia="宋体" w:hAnsi="宋体" w:cs="宋体"/>
                      <w:b/>
                      <w:bCs/>
                      <w:color w:val="185895"/>
                      <w:kern w:val="0"/>
                      <w:sz w:val="44"/>
                      <w:szCs w:val="44"/>
                    </w:rPr>
                  </w:pPr>
                  <w:r w:rsidRPr="00180B0D">
                    <w:rPr>
                      <w:rFonts w:ascii="宋体" w:eastAsia="宋体" w:hAnsi="宋体" w:cs="宋体" w:hint="eastAsia"/>
                      <w:b/>
                      <w:bCs/>
                      <w:kern w:val="0"/>
                      <w:sz w:val="44"/>
                      <w:szCs w:val="44"/>
                    </w:rPr>
                    <w:t>的指导意见</w:t>
                  </w:r>
                  <w:proofErr w:type="gramStart"/>
                  <w:r w:rsidRPr="00180B0D">
                    <w:rPr>
                      <w:rFonts w:ascii="宋体" w:eastAsia="宋体" w:hAnsi="宋体" w:cs="宋体" w:hint="eastAsia"/>
                      <w:b/>
                      <w:bCs/>
                      <w:kern w:val="0"/>
                      <w:sz w:val="44"/>
                      <w:szCs w:val="44"/>
                    </w:rPr>
                    <w:t>》</w:t>
                  </w:r>
                  <w:proofErr w:type="gramEnd"/>
                  <w:r w:rsidRPr="00180B0D">
                    <w:rPr>
                      <w:rFonts w:ascii="宋体" w:eastAsia="宋体" w:hAnsi="宋体" w:cs="宋体" w:hint="eastAsia"/>
                      <w:b/>
                      <w:bCs/>
                      <w:kern w:val="0"/>
                      <w:sz w:val="44"/>
                      <w:szCs w:val="44"/>
                    </w:rPr>
                    <w:t>的通知</w:t>
                  </w:r>
                </w:p>
              </w:tc>
            </w:tr>
            <w:tr w:rsidR="00180B0D" w:rsidRPr="00180B0D" w:rsidTr="00180B0D">
              <w:trPr>
                <w:trHeight w:val="555"/>
                <w:tblCellSpacing w:w="0" w:type="dxa"/>
              </w:trPr>
              <w:tc>
                <w:tcPr>
                  <w:tcW w:w="5000" w:type="pct"/>
                  <w:vAlign w:val="center"/>
                  <w:hideMark/>
                </w:tcPr>
                <w:p w:rsidR="00180B0D" w:rsidRPr="00180B0D" w:rsidRDefault="00180B0D" w:rsidP="00180B0D">
                  <w:pPr>
                    <w:widowControl/>
                    <w:spacing w:line="600" w:lineRule="exact"/>
                    <w:jc w:val="center"/>
                    <w:rPr>
                      <w:rFonts w:ascii="宋体" w:eastAsia="宋体" w:hAnsi="宋体" w:cs="宋体" w:hint="eastAsia"/>
                      <w:b/>
                      <w:bCs/>
                      <w:color w:val="185895"/>
                      <w:kern w:val="0"/>
                      <w:sz w:val="44"/>
                      <w:szCs w:val="44"/>
                    </w:rPr>
                  </w:pPr>
                  <w:r w:rsidRPr="00180B0D">
                    <w:rPr>
                      <w:rFonts w:ascii="仿宋" w:eastAsia="仿宋" w:hAnsi="仿宋" w:cs="宋体" w:hint="eastAsia"/>
                      <w:color w:val="000000"/>
                      <w:kern w:val="0"/>
                      <w:sz w:val="32"/>
                      <w:szCs w:val="32"/>
                    </w:rPr>
                    <w:t>教研〔2018〕5号</w:t>
                  </w:r>
                </w:p>
              </w:tc>
            </w:tr>
          </w:tbl>
          <w:p w:rsidR="00180B0D" w:rsidRPr="00180B0D" w:rsidRDefault="00180B0D" w:rsidP="00180B0D">
            <w:pPr>
              <w:widowControl/>
              <w:spacing w:line="600" w:lineRule="exact"/>
              <w:jc w:val="center"/>
              <w:rPr>
                <w:rFonts w:ascii="宋体" w:eastAsia="宋体" w:hAnsi="宋体" w:cs="宋体"/>
                <w:vanish/>
                <w:color w:val="000000"/>
                <w:kern w:val="0"/>
                <w:sz w:val="44"/>
                <w:szCs w:val="44"/>
              </w:rPr>
            </w:pPr>
          </w:p>
          <w:tbl>
            <w:tblPr>
              <w:tblW w:w="5000" w:type="pct"/>
              <w:tblCellSpacing w:w="0" w:type="dxa"/>
              <w:tblCellMar>
                <w:left w:w="0" w:type="dxa"/>
                <w:right w:w="0" w:type="dxa"/>
              </w:tblCellMar>
              <w:tblLook w:val="04A0"/>
            </w:tblPr>
            <w:tblGrid>
              <w:gridCol w:w="8306"/>
            </w:tblGrid>
            <w:tr w:rsidR="00180B0D" w:rsidRPr="00180B0D">
              <w:trPr>
                <w:trHeight w:val="15"/>
                <w:tblCellSpacing w:w="0" w:type="dxa"/>
              </w:trPr>
              <w:tc>
                <w:tcPr>
                  <w:tcW w:w="0" w:type="auto"/>
                  <w:vAlign w:val="center"/>
                  <w:hideMark/>
                </w:tcPr>
                <w:p w:rsidR="00180B0D" w:rsidRPr="00180B0D" w:rsidRDefault="00180B0D" w:rsidP="00180B0D">
                  <w:pPr>
                    <w:widowControl/>
                    <w:spacing w:line="600" w:lineRule="exact"/>
                    <w:jc w:val="center"/>
                    <w:rPr>
                      <w:rFonts w:ascii="宋体" w:eastAsia="宋体" w:hAnsi="宋体" w:cs="宋体"/>
                      <w:kern w:val="0"/>
                      <w:sz w:val="44"/>
                      <w:szCs w:val="44"/>
                    </w:rPr>
                  </w:pPr>
                </w:p>
              </w:tc>
            </w:tr>
          </w:tbl>
          <w:p w:rsidR="00180B0D" w:rsidRPr="00180B0D" w:rsidRDefault="00180B0D" w:rsidP="00180B0D">
            <w:pPr>
              <w:widowControl/>
              <w:spacing w:line="600" w:lineRule="exact"/>
              <w:jc w:val="center"/>
              <w:rPr>
                <w:rFonts w:ascii="宋体" w:eastAsia="宋体" w:hAnsi="宋体" w:cs="宋体"/>
                <w:vanish/>
                <w:color w:val="000000"/>
                <w:kern w:val="0"/>
                <w:sz w:val="44"/>
                <w:szCs w:val="44"/>
              </w:rPr>
            </w:pPr>
          </w:p>
          <w:tbl>
            <w:tblPr>
              <w:tblW w:w="5000" w:type="pct"/>
              <w:tblCellSpacing w:w="0" w:type="dxa"/>
              <w:tblCellMar>
                <w:left w:w="0" w:type="dxa"/>
                <w:right w:w="0" w:type="dxa"/>
              </w:tblCellMar>
              <w:tblLook w:val="04A0"/>
            </w:tblPr>
            <w:tblGrid>
              <w:gridCol w:w="8306"/>
            </w:tblGrid>
            <w:tr w:rsidR="00180B0D" w:rsidRPr="00180B0D">
              <w:trPr>
                <w:tblCellSpacing w:w="0" w:type="dxa"/>
              </w:trPr>
              <w:tc>
                <w:tcPr>
                  <w:tcW w:w="0" w:type="auto"/>
                  <w:vAlign w:val="center"/>
                  <w:hideMark/>
                </w:tcPr>
                <w:p w:rsidR="00180B0D" w:rsidRPr="00180B0D" w:rsidRDefault="00180B0D" w:rsidP="00180B0D">
                  <w:pPr>
                    <w:widowControl/>
                    <w:spacing w:line="600" w:lineRule="exact"/>
                    <w:jc w:val="center"/>
                    <w:rPr>
                      <w:rFonts w:ascii="宋体" w:eastAsia="宋体" w:hAnsi="宋体" w:cs="宋体"/>
                      <w:kern w:val="0"/>
                      <w:sz w:val="44"/>
                      <w:szCs w:val="44"/>
                    </w:rPr>
                  </w:pPr>
                </w:p>
              </w:tc>
            </w:tr>
          </w:tbl>
          <w:p w:rsidR="00180B0D" w:rsidRPr="00180B0D" w:rsidRDefault="00180B0D" w:rsidP="00180B0D">
            <w:pPr>
              <w:widowControl/>
              <w:spacing w:line="600" w:lineRule="exact"/>
              <w:jc w:val="center"/>
              <w:rPr>
                <w:rFonts w:ascii="宋体" w:eastAsia="宋体" w:hAnsi="宋体" w:cs="宋体"/>
                <w:color w:val="000000"/>
                <w:kern w:val="0"/>
                <w:sz w:val="44"/>
                <w:szCs w:val="44"/>
              </w:rPr>
            </w:pPr>
          </w:p>
        </w:tc>
      </w:tr>
      <w:tr w:rsidR="00180B0D" w:rsidRPr="00180B0D" w:rsidTr="00180B0D">
        <w:trPr>
          <w:tblCellSpacing w:w="0" w:type="dxa"/>
        </w:trPr>
        <w:tc>
          <w:tcPr>
            <w:tcW w:w="0" w:type="auto"/>
            <w:shd w:val="clear" w:color="auto" w:fill="FFFFFF"/>
            <w:vAlign w:val="center"/>
            <w:hideMark/>
          </w:tcPr>
          <w:p w:rsidR="00180B0D" w:rsidRPr="00180B0D" w:rsidRDefault="00180B0D" w:rsidP="00180B0D">
            <w:pPr>
              <w:widowControl/>
              <w:spacing w:line="536" w:lineRule="atLeast"/>
              <w:jc w:val="left"/>
              <w:rPr>
                <w:rFonts w:ascii="宋体" w:eastAsia="宋体" w:hAnsi="宋体" w:cs="宋体"/>
                <w:color w:val="000000"/>
                <w:kern w:val="0"/>
                <w:sz w:val="30"/>
                <w:szCs w:val="30"/>
              </w:rPr>
            </w:pPr>
          </w:p>
        </w:tc>
      </w:tr>
    </w:tbl>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各省、自治区、直辖市教育厅（教委）、财政厅（局）、发展改革委，新疆生产建设兵团教育局、财务局、发展改革委，有关部门（单位）教育司（局），有关高等学校：</w:t>
      </w:r>
    </w:p>
    <w:p w:rsidR="00180B0D" w:rsidRDefault="00180B0D" w:rsidP="00180B0D">
      <w:pPr>
        <w:spacing w:line="500" w:lineRule="exact"/>
        <w:ind w:firstLine="645"/>
        <w:rPr>
          <w:rFonts w:ascii="仿宋" w:eastAsia="仿宋" w:hAnsi="仿宋" w:hint="eastAsia"/>
          <w:sz w:val="32"/>
          <w:szCs w:val="32"/>
        </w:rPr>
      </w:pPr>
      <w:r w:rsidRPr="00180B0D">
        <w:rPr>
          <w:rFonts w:ascii="仿宋" w:eastAsia="仿宋" w:hAnsi="仿宋" w:hint="eastAsia"/>
          <w:sz w:val="32"/>
          <w:szCs w:val="32"/>
        </w:rPr>
        <w:t>为贯彻落实党的十九大精神，加快“双一流”建设，根据国务院印发的《统筹推进世界一流大学和一流学科建设总体方案》和教育部、财政部、国家发展改革委联合印发的《统筹推进世界一流大学和一流学科建设实施办法（暂行）》，教育部、财政部、国家发展改革委制定了《关于高等学校加快“双一流”建设的指导意见》，现予以印发。</w:t>
      </w:r>
    </w:p>
    <w:p w:rsidR="00180B0D" w:rsidRPr="00180B0D" w:rsidRDefault="00180B0D" w:rsidP="00180B0D">
      <w:pPr>
        <w:spacing w:line="500" w:lineRule="exact"/>
        <w:ind w:firstLine="645"/>
        <w:rPr>
          <w:rFonts w:ascii="仿宋" w:eastAsia="仿宋" w:hAnsi="仿宋" w:hint="eastAsia"/>
          <w:sz w:val="32"/>
          <w:szCs w:val="32"/>
        </w:rPr>
      </w:pPr>
    </w:p>
    <w:p w:rsidR="00180B0D" w:rsidRDefault="00180B0D" w:rsidP="00180B0D">
      <w:pPr>
        <w:spacing w:line="500" w:lineRule="exact"/>
        <w:jc w:val="right"/>
        <w:rPr>
          <w:rFonts w:ascii="仿宋" w:eastAsia="仿宋" w:hAnsi="仿宋" w:hint="eastAsia"/>
          <w:sz w:val="32"/>
          <w:szCs w:val="32"/>
        </w:rPr>
      </w:pPr>
      <w:r w:rsidRPr="00180B0D">
        <w:rPr>
          <w:rFonts w:ascii="仿宋" w:eastAsia="仿宋" w:hAnsi="仿宋" w:hint="eastAsia"/>
          <w:sz w:val="32"/>
          <w:szCs w:val="32"/>
        </w:rPr>
        <w:t>教育部 财政部 国家发展改革委</w:t>
      </w:r>
    </w:p>
    <w:p w:rsidR="00180B0D" w:rsidRPr="00180B0D" w:rsidRDefault="00180B0D" w:rsidP="00180B0D">
      <w:pPr>
        <w:spacing w:line="500" w:lineRule="exact"/>
        <w:ind w:right="1280"/>
        <w:jc w:val="right"/>
        <w:rPr>
          <w:rFonts w:ascii="仿宋" w:eastAsia="仿宋" w:hAnsi="仿宋" w:hint="eastAsia"/>
          <w:sz w:val="32"/>
          <w:szCs w:val="32"/>
        </w:rPr>
      </w:pPr>
      <w:r w:rsidRPr="00180B0D">
        <w:rPr>
          <w:rFonts w:ascii="仿宋" w:eastAsia="仿宋" w:hAnsi="仿宋" w:hint="eastAsia"/>
          <w:sz w:val="32"/>
          <w:szCs w:val="32"/>
        </w:rPr>
        <w:t>2018年8月8日</w:t>
      </w:r>
    </w:p>
    <w:p w:rsidR="00180B0D" w:rsidRPr="00180B0D" w:rsidRDefault="00180B0D" w:rsidP="00180B0D">
      <w:pPr>
        <w:widowControl/>
        <w:spacing w:before="100" w:beforeAutospacing="1" w:after="100" w:afterAutospacing="1"/>
        <w:jc w:val="center"/>
        <w:rPr>
          <w:rFonts w:ascii="宋体" w:eastAsia="宋体" w:hAnsi="宋体" w:cs="宋体" w:hint="eastAsia"/>
          <w:b/>
          <w:bCs/>
          <w:spacing w:val="-20"/>
          <w:kern w:val="0"/>
          <w:sz w:val="44"/>
          <w:szCs w:val="44"/>
        </w:rPr>
      </w:pPr>
      <w:r w:rsidRPr="00180B0D">
        <w:rPr>
          <w:rFonts w:ascii="宋体" w:eastAsia="宋体" w:hAnsi="宋体" w:cs="宋体" w:hint="eastAsia"/>
          <w:b/>
          <w:bCs/>
          <w:spacing w:val="-20"/>
          <w:kern w:val="0"/>
          <w:sz w:val="44"/>
          <w:szCs w:val="44"/>
        </w:rPr>
        <w:t>关于高等学校加快“双一流”建设的指导意见</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为深入贯彻落实党的十九大精神，加快一流大学和一流学科建设，实现高等教育内涵式发展，全面提高人才培养能力，提升我国高等教育整体水平，根据《统筹推进世界一流大学和一流学科建设总体方案》和《统筹推进世界一流大学和一流学科建设实施办法（暂行）》，制定本意见。</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一、总体要求</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（一）指导思想</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以习近平新时代中国特色社会主义思想为指导，深入贯</w:t>
      </w:r>
      <w:r w:rsidRPr="00180B0D">
        <w:rPr>
          <w:rFonts w:ascii="仿宋" w:eastAsia="仿宋" w:hAnsi="仿宋" w:hint="eastAsia"/>
          <w:sz w:val="32"/>
          <w:szCs w:val="32"/>
        </w:rPr>
        <w:lastRenderedPageBreak/>
        <w:t>彻落实党的十九大精神，紧紧围绕统筹推进“五位一体”总体布局和协调推进“四个全面”战略布局，全面贯彻落实党的教育方针，以中国特色世界一流为核心，以高等教育内涵式发展为主线，落实立德树人根本任务，紧紧抓住坚持办学正确政治方向、建设高素质教师队伍和形成高水平人才培养体系三项基础性工作，以体制机制创新为着力点，全面加强党的领导，调动各种积极因素，在深化改革、服务需求、开放合作中加快发展，努力建成一批中国特色社会主义标杆大学，确保实现“双一流”建设总体方案确定的战略目标。</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（二）基本原则</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坚持特色一流。扎根中国大地，服务国家重大战略需求，传承创新优秀文化，积极主动融入改革开放、现代化建设和民族复兴伟大进程，体现优势特色，提升发展水平，办人民满意的教育。瞄准世界一流，吸收世界上先进的办学治学经验，遵循教育教学规律，积极参与国际合作交流，有效扩大国际影响，实现跨越发展、超越引领。</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坚持内涵发展。创新办学理念，转变发展模式，以多层次多类型一流人才培养为根本，以学科为基础，更加注重结构布局优化协调，更加注重人才培养模式创新，更加注重资源的有效集成和配置，统筹近期目标与长远规划，实现以质量为核心的可持续发展。</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坚持改革驱动。全面深化改革，注重体制机制创新，充分激发各类人才积极性主动性创造性和高校内生动力，加快构建充满活力、富有效率、更加开放、动态竞争的体制机制。</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坚持高校主体。明确高校主体责任，对接需求，统筹学校整体建设和学科建设，主动作为，充分发掘集聚各方面积极因素，加强多方协同，确保各项建设与改革任务落地见效。</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lastRenderedPageBreak/>
        <w:t xml:space="preserve">　　二、落实根本任务，培养社会主义建设者和接班人</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（三）坚持中国特色社会主义办学方向</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建设中国特色世界一流大学必须坚持办学正确政治方向。坚持和加强党的全面领导，牢固树立“四个意识”，坚定“四个自信”，把“四个自信”转化为办好中国特色世界一流大学的自信和动力。</w:t>
      </w:r>
      <w:proofErr w:type="gramStart"/>
      <w:r w:rsidRPr="00180B0D">
        <w:rPr>
          <w:rFonts w:ascii="仿宋" w:eastAsia="仿宋" w:hAnsi="仿宋" w:hint="eastAsia"/>
          <w:sz w:val="32"/>
          <w:szCs w:val="32"/>
        </w:rPr>
        <w:t>践行</w:t>
      </w:r>
      <w:proofErr w:type="gramEnd"/>
      <w:r w:rsidRPr="00180B0D">
        <w:rPr>
          <w:rFonts w:ascii="仿宋" w:eastAsia="仿宋" w:hAnsi="仿宋" w:hint="eastAsia"/>
          <w:sz w:val="32"/>
          <w:szCs w:val="32"/>
        </w:rPr>
        <w:t>“四个服务”，立足中国实践、解决中国问题，为国家发展、人民福祉做贡献。高校党委要把政治建设摆在首位，深入实施基层党建质量</w:t>
      </w:r>
      <w:proofErr w:type="gramStart"/>
      <w:r w:rsidRPr="00180B0D">
        <w:rPr>
          <w:rFonts w:ascii="仿宋" w:eastAsia="仿宋" w:hAnsi="仿宋" w:hint="eastAsia"/>
          <w:sz w:val="32"/>
          <w:szCs w:val="32"/>
        </w:rPr>
        <w:t>提升攻坚</w:t>
      </w:r>
      <w:proofErr w:type="gramEnd"/>
      <w:r w:rsidRPr="00180B0D">
        <w:rPr>
          <w:rFonts w:ascii="仿宋" w:eastAsia="仿宋" w:hAnsi="仿宋" w:hint="eastAsia"/>
          <w:sz w:val="32"/>
          <w:szCs w:val="32"/>
        </w:rPr>
        <w:t>行动，全面推进高校党组织“对标争先”建设计划和教师党支部书记“双带头人”培育工程，加强教师党支部、学生党支部建设，巩固马克思主义在高校意识形态领域的指导地位，切实履行好管党治党、办学治校主体责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（四）引导学生成长成才</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育人为本，德育为先，着力培养一大批德智体美全面发展的社会主义建设者和接班人。深入研究学生的新特点新变化新需求，大力加强理想信念教育和国情教育，抓好马克思主义理论教育，</w:t>
      </w:r>
      <w:proofErr w:type="gramStart"/>
      <w:r w:rsidRPr="00180B0D">
        <w:rPr>
          <w:rFonts w:ascii="仿宋" w:eastAsia="仿宋" w:hAnsi="仿宋" w:hint="eastAsia"/>
          <w:sz w:val="32"/>
          <w:szCs w:val="32"/>
        </w:rPr>
        <w:t>践行</w:t>
      </w:r>
      <w:proofErr w:type="gramEnd"/>
      <w:r w:rsidRPr="00180B0D">
        <w:rPr>
          <w:rFonts w:ascii="仿宋" w:eastAsia="仿宋" w:hAnsi="仿宋" w:hint="eastAsia"/>
          <w:sz w:val="32"/>
          <w:szCs w:val="32"/>
        </w:rPr>
        <w:t>社会主义核心价值观，坚持不懈推进习近平新时代中国特色社会主义思想进教材、进课堂、进学生头脑，使党的创新理论全面融入高校思想政治工作。深入实施高校思想政治工作质量提升工程，深化“三全育人”综合改革，实现全员全过程全方位育人；实施普通高校思想政治理论课建设体系创新计划，大力推动以“思政课+课程思政”为目标的课堂教学改革，使各类课程、资源、力量与思想政治理论课同向同行，形成协同效应。发挥哲学社会科学育人优势，加强人文关怀和心理引导。实施高校体育固本工程和美育提升工程，提高学生体质健康水平和艺术审美素养。鼓励学生参与教学改革和创新实践，改革学习评价制度，激励</w:t>
      </w:r>
      <w:r w:rsidRPr="00180B0D">
        <w:rPr>
          <w:rFonts w:ascii="仿宋" w:eastAsia="仿宋" w:hAnsi="仿宋" w:hint="eastAsia"/>
          <w:sz w:val="32"/>
          <w:szCs w:val="32"/>
        </w:rPr>
        <w:lastRenderedPageBreak/>
        <w:t>学生自主学习、奋发学习、全面发展。做好学生就业创业工作，鼓励学生到基层一线发光发热，在服务国家发展战略中大显身手。</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（五）形成高水平人才培养体系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把立德树人的成效作为检验学校一切工作的根本标准，一体化构建课程、科研、实践、文化、网络、心理、管理、服务、资助、组织等育人体系，把思想政治工作贯穿教育教学全过程、贯通人才培养全体系。突出特色优势，完善切合办学定位、互相支撑发展的学科体系，充分发挥学科育人功能；突出质量水平，建立知识结构完备、方式方法先进的教学体系，推动信息技术、智能技术与教育教学深度融合，构建“互联网+”条件下的人才培养新模式，推进信息化实践教学，充分利用现代信息技术实现优质教学资源开放共享，全面提升师生信息素养；突出价值导向，建立思想性、科学性和时代性相统一的教材体系，加快建设教材建设研究基地，把教材建设作为学科建设的重要内容和考核指标，完善教材编写审查、遴选使用、质量监控和评价机制，建立优秀教材编写激励保障机制，努力编写出版具有世界影响的一流教材；突出服务效能，创新以人为本、责权明确的管理体系；健全分流退出机制和学生权益保护制度，完善有利于激励学习、公平公正的学生奖助体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（六）培养拔尖创新人才</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深化教育教学改革，提高人才培养质量。率先确立建成一流本科教育目标，强化本科教育基础地位，把一流本科教育建设作为“双一流”建设的基础任务，加快实施“六卓越</w:t>
      </w:r>
      <w:proofErr w:type="gramStart"/>
      <w:r w:rsidRPr="00180B0D">
        <w:rPr>
          <w:rFonts w:ascii="仿宋" w:eastAsia="仿宋" w:hAnsi="仿宋" w:hint="eastAsia"/>
          <w:sz w:val="32"/>
          <w:szCs w:val="32"/>
        </w:rPr>
        <w:t>一</w:t>
      </w:r>
      <w:proofErr w:type="gramEnd"/>
      <w:r w:rsidRPr="00180B0D">
        <w:rPr>
          <w:rFonts w:ascii="仿宋" w:eastAsia="仿宋" w:hAnsi="仿宋" w:hint="eastAsia"/>
          <w:sz w:val="32"/>
          <w:szCs w:val="32"/>
        </w:rPr>
        <w:t>拔尖” 人才培养计划2.0，建成一批一流本科专业；深化研究生教育综合改革，进一步明确不同学位层次的培养要求，</w:t>
      </w:r>
      <w:r w:rsidRPr="00180B0D">
        <w:rPr>
          <w:rFonts w:ascii="仿宋" w:eastAsia="仿宋" w:hAnsi="仿宋" w:hint="eastAsia"/>
          <w:sz w:val="32"/>
          <w:szCs w:val="32"/>
        </w:rPr>
        <w:lastRenderedPageBreak/>
        <w:t>改革培养方式，加快建立科教融合、产学结合的研究生培养机制，着力改进研究生培养体系，提升研究生创新能力。深化和扩大专业学位教育改革，强化研究生实践能力，培养高层次应用型人才。大力培养高精尖急缺人才，多方集成教育资源，制定跨学科人才培养方案，探索建立政治过硬、行业急需、能力突出的高层次复合型人才培养新机制。推进课程改革，加强不同培养阶段课程和教学的一体化设计，坚持因材施教、循序渐进、教学相长，将创新创业能力和实践能力培养融入课程体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三、全面深化改革，探索一流大学建设之路</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（七）增强服务重大战略需求能力</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需求是推动建设的源动力。加强对各类需求的针对性研究、科学性预测和系统性把握，主动对接国家和区域重大战略，加强各类教育形式、各类专项计划统筹管理，优化学科专业结构，完善以社会需求和学术贡献为导向的学科专业动态调整机制。推进高层次人才供给侧结构性改革，优化不同层次学生的培养结构，适应需求调整培养规模与培养目标，适度扩大博士研究生规模，加快发展博士专业学位研究生教育；加强国家战略、国家安全、国际组织等相关急需学科专业人才的培养，超前培养和储备哲学社会科学特别是马克思主义理论、传承中华优秀传统文化等相关人才。进一步完善以提高招生选拔质量为核心、科学公正的研究生招生选拔机制。建立面向服务需求的资源集成调配机制，充分发挥各类资源的集聚效应和放大效应。</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（八）优化学科布局</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构建协调可持续发展的学科体系。立足学校办学定位和学科发展规律，打破传统学科之间的壁垒，以“双一流”建</w:t>
      </w:r>
      <w:r w:rsidRPr="00180B0D">
        <w:rPr>
          <w:rFonts w:ascii="仿宋" w:eastAsia="仿宋" w:hAnsi="仿宋" w:hint="eastAsia"/>
          <w:sz w:val="32"/>
          <w:szCs w:val="32"/>
        </w:rPr>
        <w:lastRenderedPageBreak/>
        <w:t>设学科为核心，以优势特色学科为主体，以相关学科为支撑，整合相关传统学科资源，促进基础学科、应用学科交叉融合，在前沿和交叉学科领域培植新的学科生长点。与国家和区域发展战略需求紧密衔接，加快建设对接区域传统优势产业，以及先进制造、生态环保等战略型新兴产业发展的学科。加强马克思主义学科建设，加快完善具有支撑作用的学科，突出优势、拓展领域、补齐短板，努力构建全方位、全领域、全要素的中国特色哲学社会科学体系。优化学术学位和专业学位类别授权点布局，处理好交叉学科与传统学科的关系，完善学科新增与退出机制，学科的调整或撤销不应违背学校和学科发展规律，力戒盲目跟风简单化。</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（九）建设高素质教师队伍</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人才培养，关键在教师。加强师德师风建设，严把选聘考核晋升思想政治素质关，将师德师风作为评价教师队伍素质的第一标准，打造有理想信念、道德情操、扎实学识、仁爱之心的教师队伍，建成师德师风高地。</w:t>
      </w:r>
      <w:proofErr w:type="gramStart"/>
      <w:r w:rsidRPr="00180B0D">
        <w:rPr>
          <w:rFonts w:ascii="仿宋" w:eastAsia="仿宋" w:hAnsi="仿宋" w:hint="eastAsia"/>
          <w:sz w:val="32"/>
          <w:szCs w:val="32"/>
        </w:rPr>
        <w:t>坚持引育并举</w:t>
      </w:r>
      <w:proofErr w:type="gramEnd"/>
      <w:r w:rsidRPr="00180B0D">
        <w:rPr>
          <w:rFonts w:ascii="仿宋" w:eastAsia="仿宋" w:hAnsi="仿宋" w:hint="eastAsia"/>
          <w:sz w:val="32"/>
          <w:szCs w:val="32"/>
        </w:rPr>
        <w:t>、以育为主，建立健全青年人才蓬勃生长的机制，精准引进活跃于国际学术前沿的海外高层次人才，坚决杜绝片面抢挖“帽子”人才等短期行为。改革编制及岗位管理制度，突出教学一线需求，加大教师教学岗位激励力度。建立建强校级教师发展中心，提升教师教学能力，促进高校教师职业发展，加强职前培养、入职培训和在职研修，完善访问学者制度，探索建立专任教师学术休假制度，支持高校教师参加国际化培训项目、国际交流和科研合作。支持高校教师参与基础教育教学改革、教材建设等工作。深入推进高校教师职称评审制度、考核评价制度改革，建立健全教授为本科生上课制度，</w:t>
      </w:r>
      <w:proofErr w:type="gramStart"/>
      <w:r w:rsidRPr="00180B0D">
        <w:rPr>
          <w:rFonts w:ascii="仿宋" w:eastAsia="仿宋" w:hAnsi="仿宋" w:hint="eastAsia"/>
          <w:sz w:val="32"/>
          <w:szCs w:val="32"/>
        </w:rPr>
        <w:t>不</w:t>
      </w:r>
      <w:proofErr w:type="gramEnd"/>
      <w:r w:rsidRPr="00180B0D">
        <w:rPr>
          <w:rFonts w:ascii="仿宋" w:eastAsia="仿宋" w:hAnsi="仿宋" w:hint="eastAsia"/>
          <w:sz w:val="32"/>
          <w:szCs w:val="32"/>
        </w:rPr>
        <w:t>唯头衔、资历、论文作为评价依据，突出学术贡献和影响</w:t>
      </w:r>
      <w:r w:rsidRPr="00180B0D">
        <w:rPr>
          <w:rFonts w:ascii="仿宋" w:eastAsia="仿宋" w:hAnsi="仿宋" w:hint="eastAsia"/>
          <w:sz w:val="32"/>
          <w:szCs w:val="32"/>
        </w:rPr>
        <w:lastRenderedPageBreak/>
        <w:t>力，激发教师积极性和创造性。</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（十）提升科学研究水平</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突出一流科研对一流大学建设的支撑作用。充分发挥高校基础研究主力军作用，实施高等学校基础研究珠峰计划，建设一批前沿科学中心，牵头或参与国家科技创新基地、国家重大科技基础设施、哲学社会科学平台建设，促进基础研究和应用研究融通创新、全面发展、重点突破。加强协同创新，发挥高校、科研院所、企业等主体在人才、资本、市场、管理等方面的优势，加大技术创新、成果转化和技术转移力度；围绕关键核心技术和前沿共性问题，完善成果转化管理体系和运营机制，探索建立专业化技术转移机构及新型研发机构，促进创新链和产业链精准对接。主动融入区域发展、军民融合体系，推进军民科技成果双向转移转化，提升对地方经济社会和国防建设的贡献度。推进中国特色哲学社会科学发展，从我国改革发展的实践中挖掘新材料、发现新问题、提出新观点、构建新理论，打造高水平的新型高端智库。探索以代表性成果和原创性贡献为主要内容的科研评价，完善同行专家评价机制。</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（十一）深化国际合作交流</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大力推进高水平实质性国际合作交流，成为世界高等教育改革的参与者、推动者和引领者。加强与国外高水平大学、顶尖科研机构的实质性学术交流与科研合作，建立国际合作联合实验室、研究中心等；推动中外优质教育模式互学互鉴，以我为主创新联合办学体制机制，加大校际访问学者和学生交流互换力度。以“一带一路”倡议为引领，加大双语种或多语种复合型国际化专业人才培养力度。进一步完善国际学生招收、培养、管理、服务的制度体系，不断优化生源结构，</w:t>
      </w:r>
      <w:r w:rsidRPr="00180B0D">
        <w:rPr>
          <w:rFonts w:ascii="仿宋" w:eastAsia="仿宋" w:hAnsi="仿宋" w:hint="eastAsia"/>
          <w:sz w:val="32"/>
          <w:szCs w:val="32"/>
        </w:rPr>
        <w:lastRenderedPageBreak/>
        <w:t>提高生源质量。积极参与共建“一带一路”教育行动和中外人文交流项目，在推进孔子学院建设中，进一步发挥建设高校的主体作用。选派优秀学生、青年教师、学术带头人等赴国外高水平大学、机构访学交流，积极推动优秀研究生公派留学，加大高校优秀毕业生到国际组织实习任职的支持力度，积极推荐高校优秀人才在国际组织、学术机构、国际期刊任职兼职。</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（十二）加强大学文化建设</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培育理念先进、特色鲜明、中国智慧的大学文化，成为大学生命力、竞争力重要源泉。立足办学传统和现实定位，以社会主义核心价值观为引领，推动中华优秀教育文化的创造性转化和创新性发展，构建具有时代精神、风格鲜明的中国特色大学文化。加强校风教风学风和学术道德建设，深入开展高雅艺术进校园、大学生艺术展演、中华优秀传统文化传承基地建设，营造全方位育人文化。塑造追求卓越、鼓励创新的文化品格，弘扬勇于开拓、求真务实的学术精神，形成中外互鉴、开放包容的文化气质。坚定对发展知识、追求真理、造福人类的责任感使命感，在对口支援、精准扶贫、合建共建等行动中，勇于担当、主动作为，发挥带动作用。传播科学理性与人文情怀，承担引领时代风气和社会未来、促进人类社会发展进步的使命。</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（十三）完善中国特色现代大学制度</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以制度建设保障高校整体提升。坚持和完善党委领导下的校长负责制，健全完善各项规章制度，贯彻落实大学章程，规范高校内部治理体系，推进管理重心下移，强化依法治校；创新基层教学科研组织和学术管理模式，完善学术治理体系，保障教学、学术委员会在人才培养和学术事务中有效发挥作</w:t>
      </w:r>
      <w:r w:rsidRPr="00180B0D">
        <w:rPr>
          <w:rFonts w:ascii="仿宋" w:eastAsia="仿宋" w:hAnsi="仿宋" w:hint="eastAsia"/>
          <w:sz w:val="32"/>
          <w:szCs w:val="32"/>
        </w:rPr>
        <w:lastRenderedPageBreak/>
        <w:t>用；建立和完善学校理事会制度，进一步完善社会支持和参与学校发展的组织形式和制度平台。充分利用云计算、大数据、人工智能等新技术，构建全方位、全过程、全天候的数字校园支撑体系，提升教育教学管理能力。</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四、强化内涵建设，打造一流学科高峰</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（十四）明确学科建设内涵</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学科建设要明确学术方向和回应社会需求，坚持人才培养、学术团队、科研创新“三位一体”。围绕国家战略需求和国际学术前沿，遵循学科发展规律，找准特色优势，着力凝练学科方向、增强问题意识、汇聚高水平人才队伍、搭建学科发展平台，重点建设一批一流学科。以一流学科为引领，辐射带动学科整体水平提升，形成重点明确、层次清晰、结构协调、互为支撑的学科体系，支持大学建设水平整体提升。</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（十五）突出学科优势与特色</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学科建设的重点在于尊重规律、构建体系、强化优势、突出特色。国内领先、国际前沿高水平的学科，加快培育国际领军人才和团队，实现重大突破，抢占未来制高点，率先冲击和引领世界一流；国内前列、有一定国际影响力的学科，围绕主干领域方向，强化特色，扩大优势，打造新的学科高峰，加快进入世界一流行列。在中国特色的领域、方向，立足解决重大理论、实践问题，积极打造具有中国特色中国风格中国气派的一流学科和一流教材，加快构建中国特色哲学社会科学学科体系、学术体系、话语体系、教材体系，不断提升国际影响力和话语权。</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（十六）拓展学科育人功能</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以学科建设为载体，加强科研实践和创新创业教育，培养一流人才。强化科研育人，结合国家重点、重大科技计划</w:t>
      </w:r>
      <w:r w:rsidRPr="00180B0D">
        <w:rPr>
          <w:rFonts w:ascii="仿宋" w:eastAsia="仿宋" w:hAnsi="仿宋" w:hint="eastAsia"/>
          <w:sz w:val="32"/>
          <w:szCs w:val="32"/>
        </w:rPr>
        <w:lastRenderedPageBreak/>
        <w:t>任务，建立科教融合、相互促进的协同培养机制，促进知识学习与科学研究、能力培养的有机结合。学科建设要以人才培养为中心，支撑引领专业建设，推进实践育人，积极构建面向实践、突出应用的实践实习教学体系，拓展实践实习基地的数量、类型和层次，完善实践实习的质量监控与评价机制。加强创新创业教育，促进专业教育与创新创业教育有机融合，探索跨院系、跨学科、跨专业交叉培养创新创业人才机制，依托大学科技园、协同创新中心和工程研究中心等，搭建创新创业平台，鼓励师生共同开展高质量创新创业。</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（十七）打造高水平学科团队和梯队</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汇聚拔尖人才，激发团队活力。完善开放灵活的人才培育、吸引和使用机制，着眼长远，构建以学科带头人为领军、以杰出人才为骨干、以优秀青年人才为支撑，衔接有序、结构合理的人才团队和梯队，注重培养团队精神，加强团队合作。充分发挥学科带头人凝练方向、引领发展的重要作用，既看重学术造诣，也看重道德品质，既注重前沿方向把握，也关注组织能力建设，保障学科带头人的人财物支配权。加大对青年教师教学科研的稳定支持力度，着力把中青年学术骨干推向国际学术前沿和国家战略前沿，承担重大项目、参与重大任务，加强博士后等青年骨干力量培养；建立稳定的高水平实验技术、工程技术、实践指导和管理服务人才队伍，重视和培养学生作为科研生力军。以解决重大科研问题与合作机制为重点，对科研团队实行整体性评价，形成与贡献匹配的评价激励体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（十八）增强学科创新能力</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学术探索与服务国家需求紧密融合，着力提高关键领域原始创新、自主创新能力和建设性社会影响。围绕国家和区</w:t>
      </w:r>
      <w:r w:rsidRPr="00180B0D">
        <w:rPr>
          <w:rFonts w:ascii="仿宋" w:eastAsia="仿宋" w:hAnsi="仿宋" w:hint="eastAsia"/>
          <w:sz w:val="32"/>
          <w:szCs w:val="32"/>
        </w:rPr>
        <w:lastRenderedPageBreak/>
        <w:t>域发展战略，凝练提出学科重大发展问题，加强对关键共性技术、前沿引领技术、现代工程技术、颠覆性技术、重大理论和实践问题的有组织攻关创新，实现前瞻性基础研究、引领性原创成果和建设性社会影响的重大突破。加强重大科技项目的培育和组织，积极承担国家重点、重大科技计划任务，在国家和地方重大科技攻关项目中发挥积极作用。积极参与、牵头国际大科学计划和大科学工程，研究和解决全球性、区域性重大问题，在更多前沿领域引领科学方向。</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（十九）创新学科组织模式</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聚焦建设学科，加强学科协同交叉融合。整合各类资源，加大对原创性、系统性、引领性研究的支持。围绕重大项目和重大研究问题组建学科群，主干学科引领发展方向，发挥凝聚辐射作用，各学科紧密联系、协同创新，避免简单地“搞平衡、铺摊子、拉郎配”。瞄准国家重大战略和学科前沿发展方向，以服务需求为目标，以问题为导向，以科研联合攻关为牵引，以创新人才培养模式为重点，依托科技创新平台、研究中心等，整合多学科人才团队资源，着重围绕大物理科学、大社会科学为代表的基础学科，生命科学为代表的前沿学科，信息科学为代表的应用学科，组建交叉学科，促进哲学社会科学、自然科学、工程技术之间的交叉融合。鼓励组建学科联盟，搭建国际交流平台，发挥引领带动作用。</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五、加强协同，形成“双一流”建设合力</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（二十）健全高校“双一流”建设管理制度</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明确并落实高校在“双一流”建设中的主体责任，增强建设的责任感和使命感。充分发挥高校党委在“双一流”建设全程的领导核心作用，推动重大安排部署的科学决策、民主决策和依法决策，确保“双一流”建设方案全面落地。健</w:t>
      </w:r>
      <w:r w:rsidRPr="00180B0D">
        <w:rPr>
          <w:rFonts w:ascii="仿宋" w:eastAsia="仿宋" w:hAnsi="仿宋" w:hint="eastAsia"/>
          <w:sz w:val="32"/>
          <w:szCs w:val="32"/>
        </w:rPr>
        <w:lastRenderedPageBreak/>
        <w:t>全高校“双一流”建设管理机构，创新管理体制与运行机制，</w:t>
      </w:r>
      <w:proofErr w:type="gramStart"/>
      <w:r w:rsidRPr="00180B0D">
        <w:rPr>
          <w:rFonts w:ascii="仿宋" w:eastAsia="仿宋" w:hAnsi="仿宋" w:hint="eastAsia"/>
          <w:sz w:val="32"/>
          <w:szCs w:val="32"/>
        </w:rPr>
        <w:t>完善部门</w:t>
      </w:r>
      <w:proofErr w:type="gramEnd"/>
      <w:r w:rsidRPr="00180B0D">
        <w:rPr>
          <w:rFonts w:ascii="仿宋" w:eastAsia="仿宋" w:hAnsi="仿宋" w:hint="eastAsia"/>
          <w:sz w:val="32"/>
          <w:szCs w:val="32"/>
        </w:rPr>
        <w:t>分工负责、全员协同参与的责任体系，建立内部监测评价制度，按年度发布建设进展报告，加强督导考核，避免简单化层层分解、机械分派任务指标。</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（二十一）增强高校改革创新自觉性</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改革创新是高校持续发展的不竭动力。建设高校要积极主动深化改革，发挥教育改革排头兵的引领示范作用，以改革增添动力，以创新彰显特色。全面深化高校综合改革，着力加大思想政治教育、人才培养模式、人事制度、科研体制机制、资源募集调配机制等关键领域环节的改革力度，重点突破，探索形成符合教育规律、可复制可推广的经验做法。增强高校外部体制机制改革协同与政策协调，加快形成高校改革创新成效评价机制，完善社会参与改革、支持改革的合作机制，促进优质资源共享，为高校创新驱动发展营造良好的外部环境。</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（二十二）加大地方区域统筹</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将“双一流”建设纳入区域重大战略，结合区域内科创中心建设等重大工程、重大计划，主动明确对高校提出需求，形成“双一流”建设与其他重大工程互相支撑、协同推进的格局，更好服务地方经济社会发展。地方政府通过多种方式，对建设高校在资金、政策、资源等方面给予支持。切实落实“放管服”要求，积极推动本地区高水平大学和优势特色学科建设，引导“双一流”建设高校和本地区高水平大学相互促进、共同发展，构建协调发展、有序衔接的建设体系。</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（二十三）加强引导指导督导</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强化政策支持和资金投入引导。适度扩大高校自主设置学科权限，完善多元化研究生招生选拔机制，适度提高优秀</w:t>
      </w:r>
      <w:r w:rsidRPr="00180B0D">
        <w:rPr>
          <w:rFonts w:ascii="仿宋" w:eastAsia="仿宋" w:hAnsi="仿宋" w:hint="eastAsia"/>
          <w:sz w:val="32"/>
          <w:szCs w:val="32"/>
        </w:rPr>
        <w:lastRenderedPageBreak/>
        <w:t>应届本科毕业生直接攻读博士学位的比例。建立健全高等教育招生计划动态调整机制，实施国家急需学科高层次人才培养支持计划，探索研究生招生计划与国家重大科研任务、重点科技创新基地等相衔接的新路径。继续做好经费保障工作，全面实施预算绩效管理，建立符合高等教育规律和管理需要的绩效管理机制，增强建设高校资金统筹权，在现有财政拨款制度基础上完善研究生教育投入机制。建设高校要建立多元筹资机制，统筹自主资金和其他可由高校按规定自主使用的资金等，共同支持“双一流”建设。完善政府、社会、高校相结合的共建机制，形成多元化投入、合力支持的格局。</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强化建设过程的指导督导。履行政府部门指导职责，充分发挥“双一流”建设专家委员会咨询作用，支持学科评议组、教育教学指导委员会、教育部科学技术委员会等各类专家组织开展建设评价、诊断、督导，促进学科发展和学校建设。推进“双一流”建设督导制度化常态化长效化。按建设周期跟踪评估建设进展情况，建设</w:t>
      </w:r>
      <w:proofErr w:type="gramStart"/>
      <w:r w:rsidRPr="00180B0D">
        <w:rPr>
          <w:rFonts w:ascii="仿宋" w:eastAsia="仿宋" w:hAnsi="仿宋" w:hint="eastAsia"/>
          <w:sz w:val="32"/>
          <w:szCs w:val="32"/>
        </w:rPr>
        <w:t>期末对</w:t>
      </w:r>
      <w:proofErr w:type="gramEnd"/>
      <w:r w:rsidRPr="00180B0D">
        <w:rPr>
          <w:rFonts w:ascii="仿宋" w:eastAsia="仿宋" w:hAnsi="仿宋" w:hint="eastAsia"/>
          <w:sz w:val="32"/>
          <w:szCs w:val="32"/>
        </w:rPr>
        <w:t>建设成效进行整体评价。根据建设进展和评价情况，动态调整支持力度和建设范围。推动地方落实对“双一流”建设的政策支持和资源投入。</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（二十四）完善评价和建设协调机制</w:t>
      </w:r>
    </w:p>
    <w:p w:rsidR="00180B0D"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坚持多元综合性评价。以立德</w:t>
      </w:r>
      <w:proofErr w:type="gramStart"/>
      <w:r w:rsidRPr="00180B0D">
        <w:rPr>
          <w:rFonts w:ascii="仿宋" w:eastAsia="仿宋" w:hAnsi="仿宋" w:hint="eastAsia"/>
          <w:sz w:val="32"/>
          <w:szCs w:val="32"/>
        </w:rPr>
        <w:t>树人成效</w:t>
      </w:r>
      <w:proofErr w:type="gramEnd"/>
      <w:r w:rsidRPr="00180B0D">
        <w:rPr>
          <w:rFonts w:ascii="仿宋" w:eastAsia="仿宋" w:hAnsi="仿宋" w:hint="eastAsia"/>
          <w:sz w:val="32"/>
          <w:szCs w:val="32"/>
        </w:rPr>
        <w:t>作为根本标准，探索建立中国特色“双一流”建设的综合评价体系，以人才培养、创新能力、服务贡献和影响力为核心要素，把一流本科教育作为重要内容，定性和定量、主观和客观相结合，学科专业建设与学校整体建设评价并行，重点考察建设效果与总体方案的符合度、建设方案主要目标的达成度、建设高校及其学科专业在第三方评价中的表现度。鼓励第三方独立开</w:t>
      </w:r>
      <w:r w:rsidRPr="00180B0D">
        <w:rPr>
          <w:rFonts w:ascii="仿宋" w:eastAsia="仿宋" w:hAnsi="仿宋" w:hint="eastAsia"/>
          <w:sz w:val="32"/>
          <w:szCs w:val="32"/>
        </w:rPr>
        <w:lastRenderedPageBreak/>
        <w:t>展建设过程及建设成效的监测评价。积极探索中国特色现代高等教育评估制度。</w:t>
      </w:r>
    </w:p>
    <w:p w:rsidR="00015F45" w:rsidRPr="00180B0D" w:rsidRDefault="00180B0D" w:rsidP="00180B0D">
      <w:pPr>
        <w:spacing w:line="500" w:lineRule="exact"/>
        <w:rPr>
          <w:rFonts w:ascii="仿宋" w:eastAsia="仿宋" w:hAnsi="仿宋" w:hint="eastAsia"/>
          <w:sz w:val="32"/>
          <w:szCs w:val="32"/>
        </w:rPr>
      </w:pPr>
      <w:r w:rsidRPr="00180B0D">
        <w:rPr>
          <w:rFonts w:ascii="仿宋" w:eastAsia="仿宋" w:hAnsi="仿宋" w:hint="eastAsia"/>
          <w:sz w:val="32"/>
          <w:szCs w:val="32"/>
        </w:rPr>
        <w:t xml:space="preserve">　　健全协调机制。建立健全“双一流”建设部</w:t>
      </w:r>
      <w:proofErr w:type="gramStart"/>
      <w:r w:rsidRPr="00180B0D">
        <w:rPr>
          <w:rFonts w:ascii="仿宋" w:eastAsia="仿宋" w:hAnsi="仿宋" w:hint="eastAsia"/>
          <w:sz w:val="32"/>
          <w:szCs w:val="32"/>
        </w:rPr>
        <w:t>际协调</w:t>
      </w:r>
      <w:proofErr w:type="gramEnd"/>
      <w:r w:rsidRPr="00180B0D">
        <w:rPr>
          <w:rFonts w:ascii="仿宋" w:eastAsia="仿宋" w:hAnsi="仿宋" w:hint="eastAsia"/>
          <w:sz w:val="32"/>
          <w:szCs w:val="32"/>
        </w:rPr>
        <w:t>工作机制，创新省部共建合建机制，统筹推进“双一流”建设与地方高水平大学建设，实现政策协同、分工协同、落实协同、效果协同。</w:t>
      </w:r>
    </w:p>
    <w:p w:rsidR="00180B0D" w:rsidRPr="00180B0D" w:rsidRDefault="00180B0D" w:rsidP="00180B0D">
      <w:pPr>
        <w:pStyle w:val="a3"/>
        <w:pageBreakBefore/>
        <w:shd w:val="clear" w:color="auto" w:fill="FFFFFF"/>
        <w:spacing w:before="124" w:beforeAutospacing="0" w:after="124" w:afterAutospacing="0"/>
        <w:jc w:val="center"/>
        <w:rPr>
          <w:rFonts w:ascii="华文中宋" w:eastAsia="华文中宋" w:hAnsi="华文中宋"/>
          <w:color w:val="000000"/>
          <w:spacing w:val="-20"/>
          <w:sz w:val="44"/>
          <w:szCs w:val="44"/>
        </w:rPr>
      </w:pPr>
      <w:r w:rsidRPr="00180B0D">
        <w:rPr>
          <w:rStyle w:val="a4"/>
          <w:rFonts w:ascii="华文中宋" w:eastAsia="华文中宋" w:hAnsi="华文中宋" w:hint="eastAsia"/>
          <w:color w:val="000000"/>
          <w:spacing w:val="-20"/>
          <w:sz w:val="44"/>
          <w:szCs w:val="44"/>
        </w:rPr>
        <w:lastRenderedPageBreak/>
        <w:t>全面提高人才培养能力 提升高等教育整体水平</w:t>
      </w:r>
    </w:p>
    <w:p w:rsidR="00180B0D" w:rsidRDefault="00180B0D" w:rsidP="00180B0D">
      <w:pPr>
        <w:pStyle w:val="a3"/>
        <w:shd w:val="clear" w:color="auto" w:fill="FFFFFF"/>
        <w:spacing w:before="124" w:beforeAutospacing="0" w:after="124" w:afterAutospacing="0"/>
        <w:jc w:val="center"/>
        <w:rPr>
          <w:rStyle w:val="a4"/>
          <w:rFonts w:ascii="微软雅黑" w:eastAsia="微软雅黑" w:hAnsi="微软雅黑" w:hint="eastAsia"/>
          <w:color w:val="000000"/>
          <w:sz w:val="30"/>
          <w:szCs w:val="30"/>
        </w:rPr>
      </w:pPr>
      <w:r w:rsidRPr="00180B0D">
        <w:rPr>
          <w:rStyle w:val="a4"/>
          <w:rFonts w:ascii="微软雅黑" w:eastAsia="微软雅黑" w:hAnsi="微软雅黑" w:hint="eastAsia"/>
          <w:color w:val="000000"/>
          <w:sz w:val="30"/>
          <w:szCs w:val="30"/>
        </w:rPr>
        <w:t>——教育部学位管理与研究生教育司负责人就</w:t>
      </w:r>
      <w:proofErr w:type="gramStart"/>
      <w:r w:rsidRPr="00180B0D">
        <w:rPr>
          <w:rStyle w:val="a4"/>
          <w:rFonts w:ascii="微软雅黑" w:eastAsia="微软雅黑" w:hAnsi="微软雅黑" w:hint="eastAsia"/>
          <w:color w:val="000000"/>
          <w:sz w:val="30"/>
          <w:szCs w:val="30"/>
        </w:rPr>
        <w:t>《</w:t>
      </w:r>
      <w:proofErr w:type="gramEnd"/>
      <w:r w:rsidRPr="00180B0D">
        <w:rPr>
          <w:rStyle w:val="a4"/>
          <w:rFonts w:ascii="微软雅黑" w:eastAsia="微软雅黑" w:hAnsi="微软雅黑" w:hint="eastAsia"/>
          <w:color w:val="000000"/>
          <w:sz w:val="30"/>
          <w:szCs w:val="30"/>
        </w:rPr>
        <w:t>关于高等学校</w:t>
      </w:r>
    </w:p>
    <w:p w:rsidR="00180B0D" w:rsidRPr="00180B0D" w:rsidRDefault="00180B0D" w:rsidP="00180B0D">
      <w:pPr>
        <w:pStyle w:val="a3"/>
        <w:shd w:val="clear" w:color="auto" w:fill="FFFFFF"/>
        <w:spacing w:before="124" w:beforeAutospacing="0" w:after="124" w:afterAutospacing="0"/>
        <w:jc w:val="center"/>
        <w:rPr>
          <w:rFonts w:ascii="微软雅黑" w:eastAsia="微软雅黑" w:hAnsi="微软雅黑" w:hint="eastAsia"/>
          <w:color w:val="000000"/>
          <w:sz w:val="30"/>
          <w:szCs w:val="30"/>
        </w:rPr>
      </w:pPr>
      <w:r w:rsidRPr="00180B0D">
        <w:rPr>
          <w:rStyle w:val="a4"/>
          <w:rFonts w:ascii="微软雅黑" w:eastAsia="微软雅黑" w:hAnsi="微软雅黑" w:hint="eastAsia"/>
          <w:color w:val="000000"/>
          <w:sz w:val="30"/>
          <w:szCs w:val="30"/>
        </w:rPr>
        <w:t>加快“双一流”建设的指导意见</w:t>
      </w:r>
      <w:proofErr w:type="gramStart"/>
      <w:r w:rsidRPr="00180B0D">
        <w:rPr>
          <w:rStyle w:val="a4"/>
          <w:rFonts w:ascii="微软雅黑" w:eastAsia="微软雅黑" w:hAnsi="微软雅黑" w:hint="eastAsia"/>
          <w:color w:val="000000"/>
          <w:sz w:val="30"/>
          <w:szCs w:val="30"/>
        </w:rPr>
        <w:t>》</w:t>
      </w:r>
      <w:proofErr w:type="gramEnd"/>
      <w:r w:rsidRPr="00180B0D">
        <w:rPr>
          <w:rStyle w:val="a4"/>
          <w:rFonts w:ascii="微软雅黑" w:eastAsia="微软雅黑" w:hAnsi="微软雅黑" w:hint="eastAsia"/>
          <w:color w:val="000000"/>
          <w:sz w:val="30"/>
          <w:szCs w:val="30"/>
        </w:rPr>
        <w:t>答记者问</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近日，教育部、财政部、国家发展改革委联合印发《关于高等学校加快“双一流”建设的指导意见》(以下简称《指导意见》)，教育部学位管理与研究生教育司负责人就有关问题回答了记者提问。</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1. 制定出台《指导意见》的背景是什么？</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建设一流大学和一流学科，是党中央、国务院做出的重大战略决策。自2016年启动“双一流”新一轮建设以来，各地各高校全面积极务实推进，“双一流”建设呈现出良好态势，为加快建设打下了良好基础。但调研中也发现，在起步阶段，还不同程度存在认识不深、思路不清、机制不明、措施不强等情况，个别高校在建设方向、建设重点等一些关键问题上还把握不准，亟待加强引导和指导。</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去年10月，党的十九大明确提出“加快一流大学和一流学科建设，实现高等教育内涵式发展”，对“双一流”建设提出了新任务新要求。今年5月2日，习近平总书记在北京大学师生座谈会上发表重要讲话就加快“双一流”建设</w:t>
      </w:r>
      <w:proofErr w:type="gramStart"/>
      <w:r w:rsidRPr="00180B0D">
        <w:rPr>
          <w:rFonts w:ascii="仿宋" w:eastAsia="仿宋" w:hAnsi="仿宋" w:hint="eastAsia"/>
          <w:color w:val="000000"/>
          <w:sz w:val="32"/>
          <w:szCs w:val="32"/>
        </w:rPr>
        <w:t>作出</w:t>
      </w:r>
      <w:proofErr w:type="gramEnd"/>
      <w:r w:rsidRPr="00180B0D">
        <w:rPr>
          <w:rFonts w:ascii="仿宋" w:eastAsia="仿宋" w:hAnsi="仿宋" w:hint="eastAsia"/>
          <w:color w:val="000000"/>
          <w:sz w:val="32"/>
          <w:szCs w:val="32"/>
        </w:rPr>
        <w:t>系统阐述，为建设中国特色世界一流大学提供了思想指引和行动指南。为贯彻落实党的十九大精神和习近平总书记重要讲话精神，写好新时代教育“奋进之笔”，加快“双一流”建设，教育部会同财政部、国家发展改革委研究制定了《指导意见》。</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lastRenderedPageBreak/>
        <w:t xml:space="preserve">　　《指导意见》是对当前高校落实“双一流”建设总体方案和实施办法的具体指导，进一步明确建设高校的责任主体、建设主体、受益主体地位，引导高校深化认识，转变理念，走内涵式发展道路，确保实现建设方案的目标任务。</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2. 《指导意见》的主要精神和总体考虑是什么？</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指导意见》的主要精神，是以习近平新时代中国特色社会主义思想为指导，深入贯彻落实党的十九大精神和习近平总书记在北京大学考察时的重要讲话精神，紧紧围绕统筹推进“五位一体”总体布局和协调推进“四个全面”战略布局，全面贯彻落实党的教育方针，以中国特色世界一流为核心，以高等教育内涵式发展为主线，落实立德树人根本任务，紧紧抓住坚持办学正确政治方向、建设高素质教师队伍和形成高水平人才培养体系三项基础性工作，以体制机制创新为着力点，全面加强党的领导，调动各种积极因素，在深化改革、服务需求、开放合作中加快发展，确保实现“双一流”建设总体方案确定的战略目标。</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加快“双一流”建设必须坚持四项原则，即坚持特色一流、坚持内涵发展、坚持改革驱动、坚持高校主体。特别强调要落实立德树人根本任务，育人为本，德育为先，培养德智体美全面发展的社会主义建设者和接班人。高校既要全面深化改革推进大学整体建设，也要强化内涵建设打造一流学科高峰，还要加快推进协同与组织保障，健全“双一流”建设管理制度体系和运行机制。地方政府要加大地方区域统筹，有关部门要加强政策支持和资金投入引导，加强建设过程的指导督导，完善评价和建设协调机制。形成多元投入、合力支持、协同推进的建设格局。</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3. “双一流”建设如何走好内涵式发展道路？</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lastRenderedPageBreak/>
        <w:t xml:space="preserve">　　答：“双一流”建设走内涵式发展道路，核心是坚持中国特色世界一流，主线是服务需求提高质量，根本任务是立德树人。一是坚持中国特色世界一流。落实培养社会主义建设者和接班人根本任务，坚持社会主义办学方向，积极主动融入改革开放、现代化建设和民族复兴伟大进程，</w:t>
      </w:r>
      <w:proofErr w:type="gramStart"/>
      <w:r w:rsidRPr="00180B0D">
        <w:rPr>
          <w:rFonts w:ascii="仿宋" w:eastAsia="仿宋" w:hAnsi="仿宋" w:hint="eastAsia"/>
          <w:color w:val="000000"/>
          <w:sz w:val="32"/>
          <w:szCs w:val="32"/>
        </w:rPr>
        <w:t>践行</w:t>
      </w:r>
      <w:proofErr w:type="gramEnd"/>
      <w:r w:rsidRPr="00180B0D">
        <w:rPr>
          <w:rFonts w:ascii="仿宋" w:eastAsia="仿宋" w:hAnsi="仿宋" w:hint="eastAsia"/>
          <w:color w:val="000000"/>
          <w:sz w:val="32"/>
          <w:szCs w:val="32"/>
        </w:rPr>
        <w:t>“四个服务”，传承和弘扬中华优秀传统文化，打造具有中国特色、中国风格、中国气派的一流学科，构建新时代中国特色哲学社会科学学科体系、学术体系、话语体系、教材体系。坚定对外开放步伐，深化国际交流合作，在可比较领域具有显示度的指标上进入世界一流前列，在办学理念、体制机制上形成全球引导力。二是在思想政治教育、人才培养体系构建、学科布局和高校整体建设上，突出育人为本、质量先行。三是对接需求、服务需求，要认识到没有需求，发展就没有方向，改革就没有目标，评价就没有标准。建设高校应主动研究分析国家重大战略以及各地区、各行业、各领域的需求，找准服务需求的切入点，建立面向服务需求的资源集成调配机制，在服务需求中形成优势、办出特色。四是创新体制机制，发力重点改革，探索高校内部办学模式的重构、各种办学要素的优化配置，充分激发各类人才积极性创造性和高校内生动力。</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 xml:space="preserve">　4. 如何通过“双一流”建设引导高校落实好培养社会主义建设者和接班人根本任务？</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回归常识、回归本分、回归初心、回归梦想，培养多层次多类型的一流人才，不断提高人才培养质量，是“双一流”建设的落脚点。学校不论整体建设和学科建设，都要紧紧围绕立德树人根本任务、不断提升人才培养能力来开展，《指导意见》提出了明确要求。一是加强党的领导，加强思</w:t>
      </w:r>
      <w:r w:rsidRPr="00180B0D">
        <w:rPr>
          <w:rFonts w:ascii="仿宋" w:eastAsia="仿宋" w:hAnsi="仿宋" w:hint="eastAsia"/>
          <w:color w:val="000000"/>
          <w:sz w:val="32"/>
          <w:szCs w:val="32"/>
        </w:rPr>
        <w:lastRenderedPageBreak/>
        <w:t>想政治教育，将思想政治工作体系贯穿人才培养全过程、各方面、各环节，加强学科体系、教学体系、教材体系、管理体系建设，全面深化教育教学改革，形成高水平人才培养体系。二是建设高素质教师队伍，加强师德师风建设，改革编制和岗位管理制度，促进高校教师职业发展，推进教师职称评审制度和考核评价制度改革，更加突出教学一线要求。三是强化育人的制度保障，优化人才培养的规模和结构、推进高层次人才供给改革，以培养一流人才作为教学体系、科研体制、人事制度、管理体制等各项改革的根本出发点。四是突出学科育人功能，强调科教融合产学结合育人、学术实践育人和创新创业教育。五是率先确立建成一流本科教育目标，强化本科教育基础地位，把一流本科教育建设作为“双一流”建设的基础任务，加快实施“六卓越</w:t>
      </w:r>
      <w:proofErr w:type="gramStart"/>
      <w:r w:rsidRPr="00180B0D">
        <w:rPr>
          <w:rFonts w:ascii="仿宋" w:eastAsia="仿宋" w:hAnsi="仿宋" w:hint="eastAsia"/>
          <w:color w:val="000000"/>
          <w:sz w:val="32"/>
          <w:szCs w:val="32"/>
        </w:rPr>
        <w:t>一</w:t>
      </w:r>
      <w:proofErr w:type="gramEnd"/>
      <w:r w:rsidRPr="00180B0D">
        <w:rPr>
          <w:rFonts w:ascii="仿宋" w:eastAsia="仿宋" w:hAnsi="仿宋" w:hint="eastAsia"/>
          <w:color w:val="000000"/>
          <w:sz w:val="32"/>
          <w:szCs w:val="32"/>
        </w:rPr>
        <w:t>拔尖”人才培养计划2.0，建成一批一流本科专业。</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5. 如何服务国家战略需求培养急需紧缺人才？</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答：建设高校要</w:t>
      </w:r>
      <w:proofErr w:type="gramStart"/>
      <w:r w:rsidRPr="00180B0D">
        <w:rPr>
          <w:rFonts w:ascii="仿宋" w:eastAsia="仿宋" w:hAnsi="仿宋" w:hint="eastAsia"/>
          <w:color w:val="000000"/>
          <w:sz w:val="32"/>
          <w:szCs w:val="32"/>
        </w:rPr>
        <w:t>践行</w:t>
      </w:r>
      <w:proofErr w:type="gramEnd"/>
      <w:r w:rsidRPr="00180B0D">
        <w:rPr>
          <w:rFonts w:ascii="仿宋" w:eastAsia="仿宋" w:hAnsi="仿宋" w:hint="eastAsia"/>
          <w:color w:val="000000"/>
          <w:sz w:val="32"/>
          <w:szCs w:val="32"/>
        </w:rPr>
        <w:t>“四个服务”，不断增强服务重大战略需求、培养国家急需紧缺人才的能力。一是加强对各类需求的针对性研究、科学性预测和系统性把握，主动对接国家和区域重大战略，加强各类教育形式、各类专项计划统筹管理，优化学科专业结构，完善以社会需求和学术贡献为导向的学科专业动态调整机制。二是推进高层次人才供给侧结构性改革，优化不同层次学生的培养结构，适应需求调整培养规模，适度扩大博士研究生规模，加快发展博士专业学位研究生教育。有关部门将建立健全高等教育招生计划动态调整机制，实施国家急需学科高层次人才培养支持计划，探索研究生招生计划与国家重大科研任务、重点科技创新基地等相衔接的新路径。三是要大力培养高精尖急缺人才，多方集</w:t>
      </w:r>
      <w:r w:rsidRPr="00180B0D">
        <w:rPr>
          <w:rFonts w:ascii="仿宋" w:eastAsia="仿宋" w:hAnsi="仿宋" w:hint="eastAsia"/>
          <w:color w:val="000000"/>
          <w:sz w:val="32"/>
          <w:szCs w:val="32"/>
        </w:rPr>
        <w:lastRenderedPageBreak/>
        <w:t>成教育资源，制定跨学科人才培养方案，探索建立政治过硬、行业急需、能力突出的高层次复合型人才培养新机制。加强国家战略、国家安全、国际组织等相关急需学科专业人才的培养，超前培养和储备哲学社会科学特别是马克思主义理论、传承中华优秀传统文化等相关人才。四是强化科研育人，结合国家重点、重大科技计划任务，建立科教融合、相互促进的协同培养机制，促进知识学习与科学研究、能力培养的有机结合。</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6. 如何以学科为基础加快“双一流”建设？</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学科是“双一流”建设的基础。只有对学科建设的内涵和任务有清晰认识和准确把握，才能办好办出一流学科。一是学科建设的内涵是人才培养、学术团队、科研创新“三位一体”，必须突出人才培养、原始创新和影响力的核心任务，将学术探索和服务国家需求相融合，实现前瞻性基础研究、引领性原创成果、建设性社会影响的重大突破。二是学科建设必须尊重规律、构建体系、强化优势、突出特色，一流是基础与前沿、优势与特色的有机统一，不能把学科特色简单等同于学校特色或中国传统特有的学科特色，注重实现差异化创新性发展。三是拓展学科育人功能，以学科建设为载体，强化科研育人、实践教育和创新创业教育，培养一流人才。四是强调学科带头人引领作用，既看重学术造诣，也看重道德品质，既注重前沿方向的把握，也关注组织能力建设，打造衔接有序、结构合理的高水平人才团队和梯队。五是创新学科组织模式，以服务需求为目标，以问题为导向，按照内在联系组建学科群，打破传统学科之间的壁垒，加强学科协同交叉融合，构建协同共生的学科体系。</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7. 如何促进学科交叉融合？</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lastRenderedPageBreak/>
        <w:t xml:space="preserve">　　答：建设高校要聚焦建设学科，整合各类资源，瞄准国家重大战略和学科前沿发展方向，将学术探索与服务国家地方需求紧密融合，着力提高关键领域原始创新、自主创新能力和建设性社会影响。以服务需求为目标，以问题为导向，以科研联合攻关为牵引，以创新人才培养模式为重点，依托科技创新平台、研究中心等，整合多学科人才团队资源，加大对原创性、系统性、引领性研究的支持，着重围绕大物理科学、大社会科学为代表的基础学科，生命科学为代表的前沿学科，信息科学为代表的应用学科，组建交叉学科，促进哲学社会科学、自然科学、工程技术之间的交叉融合。立足学校办学定位和学科发展规律，打破传统学科之间的壁垒，处理好交叉学科与传统学科的关系，促进基础学科、应用学科交叉融合，在前沿和交叉学科领域培植新的学科生长点。</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w:t>
      </w:r>
      <w:r w:rsidRPr="00180B0D">
        <w:rPr>
          <w:rStyle w:val="a4"/>
          <w:rFonts w:ascii="仿宋" w:eastAsia="仿宋" w:hAnsi="仿宋" w:hint="eastAsia"/>
          <w:color w:val="000000"/>
          <w:sz w:val="32"/>
          <w:szCs w:val="32"/>
        </w:rPr>
        <w:t>8. 对“双一流”建设成效评价有何考虑？</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答：建设成效评价对“双一流”建设具有重大导向作用，各校各地各方都很关心。根据总体方案和实施办法，“双一流”建设坚持把立德</w:t>
      </w:r>
      <w:proofErr w:type="gramStart"/>
      <w:r w:rsidRPr="00180B0D">
        <w:rPr>
          <w:rFonts w:ascii="仿宋" w:eastAsia="仿宋" w:hAnsi="仿宋" w:hint="eastAsia"/>
          <w:color w:val="000000"/>
          <w:sz w:val="32"/>
          <w:szCs w:val="32"/>
        </w:rPr>
        <w:t>树人成效</w:t>
      </w:r>
      <w:proofErr w:type="gramEnd"/>
      <w:r w:rsidRPr="00180B0D">
        <w:rPr>
          <w:rFonts w:ascii="仿宋" w:eastAsia="仿宋" w:hAnsi="仿宋" w:hint="eastAsia"/>
          <w:color w:val="000000"/>
          <w:sz w:val="32"/>
          <w:szCs w:val="32"/>
        </w:rPr>
        <w:t>作为根本标准，坚持多元综合性评价，以人才培养、创新能力、服务贡献和影响力为核心要素，探索建立中国特色“双一流”建设的综合评价体系。建设成效评价将定性和定量、主观和客观相结合，学科建设与学校整体建设评价并行，充分考虑不同学校和学科特点，重点考察建设效果与总体方案的符合度、建设方案主要目标的达成度、建设高校及其学科在第三方评价中的表现度。</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有关部门将按建设周期跟踪评估建设进展情况，建设</w:t>
      </w:r>
      <w:proofErr w:type="gramStart"/>
      <w:r w:rsidRPr="00180B0D">
        <w:rPr>
          <w:rFonts w:ascii="仿宋" w:eastAsia="仿宋" w:hAnsi="仿宋" w:hint="eastAsia"/>
          <w:color w:val="000000"/>
          <w:sz w:val="32"/>
          <w:szCs w:val="32"/>
        </w:rPr>
        <w:t>期末对</w:t>
      </w:r>
      <w:proofErr w:type="gramEnd"/>
      <w:r w:rsidRPr="00180B0D">
        <w:rPr>
          <w:rFonts w:ascii="仿宋" w:eastAsia="仿宋" w:hAnsi="仿宋" w:hint="eastAsia"/>
          <w:color w:val="000000"/>
          <w:sz w:val="32"/>
          <w:szCs w:val="32"/>
        </w:rPr>
        <w:t>建设成效进行整体评价，并根据建设进展和评价情况，动态调整支持力度和建设范围。具体的评价指标体系和办法目前还在研究制定当中。</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lastRenderedPageBreak/>
        <w:t xml:space="preserve">　　</w:t>
      </w:r>
      <w:r w:rsidRPr="00180B0D">
        <w:rPr>
          <w:rStyle w:val="a4"/>
          <w:rFonts w:ascii="仿宋" w:eastAsia="仿宋" w:hAnsi="仿宋" w:hint="eastAsia"/>
          <w:color w:val="000000"/>
          <w:sz w:val="32"/>
          <w:szCs w:val="32"/>
        </w:rPr>
        <w:t>9. 下一步有哪些加快“双一流”建设的改革举措和政策措施？</w:t>
      </w:r>
    </w:p>
    <w:p w:rsidR="00180B0D" w:rsidRPr="00180B0D" w:rsidRDefault="00180B0D" w:rsidP="00180B0D">
      <w:pPr>
        <w:pStyle w:val="a3"/>
        <w:shd w:val="clear" w:color="auto" w:fill="FFFFFF"/>
        <w:spacing w:before="0" w:beforeAutospacing="0" w:after="0" w:afterAutospacing="0" w:line="500" w:lineRule="exact"/>
        <w:jc w:val="both"/>
        <w:rPr>
          <w:rFonts w:ascii="仿宋" w:eastAsia="仿宋" w:hAnsi="仿宋" w:hint="eastAsia"/>
          <w:color w:val="000000"/>
          <w:sz w:val="32"/>
          <w:szCs w:val="32"/>
        </w:rPr>
      </w:pPr>
      <w:r w:rsidRPr="00180B0D">
        <w:rPr>
          <w:rFonts w:ascii="仿宋" w:eastAsia="仿宋" w:hAnsi="仿宋" w:hint="eastAsia"/>
          <w:color w:val="000000"/>
          <w:sz w:val="32"/>
          <w:szCs w:val="32"/>
        </w:rPr>
        <w:t xml:space="preserve">　　答：“双一流”建设是一项长期任务，也是一项系统工程。下一步将积极构建协同推进机制和合力支持建设格局。一是加强横向协同，以高校为主体，聚合地方、部门、行业、产业、社会各主体力量，加强高校间合作，形成建设合力。二是加强纵向协同，进一步落实高校建设主体责任和办学自主权，提升高校治理能力和治理水平，加强内部统筹，解决建设难点和堵点问题。三是发挥主管部门的引导、指导和督导作用，加强机制协同，推进完善部内协同、部际协调以及部省共建机制，加强对建设过程的指导和督导。</w:t>
      </w:r>
    </w:p>
    <w:p w:rsidR="00180B0D" w:rsidRPr="00180B0D" w:rsidRDefault="00180B0D"/>
    <w:sectPr w:rsidR="00180B0D" w:rsidRPr="00180B0D" w:rsidSect="00015F4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0B0D"/>
    <w:rsid w:val="00015F45"/>
    <w:rsid w:val="00164235"/>
    <w:rsid w:val="00180B0D"/>
    <w:rsid w:val="00665F6C"/>
    <w:rsid w:val="006B09B3"/>
    <w:rsid w:val="00761A91"/>
    <w:rsid w:val="007B2A46"/>
    <w:rsid w:val="008C3716"/>
    <w:rsid w:val="00CE50D7"/>
    <w:rsid w:val="00D549B3"/>
    <w:rsid w:val="00F548AF"/>
    <w:rsid w:val="00FA2C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F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0B0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80B0D"/>
    <w:rPr>
      <w:b/>
      <w:bCs/>
    </w:rPr>
  </w:style>
</w:styles>
</file>

<file path=word/webSettings.xml><?xml version="1.0" encoding="utf-8"?>
<w:webSettings xmlns:r="http://schemas.openxmlformats.org/officeDocument/2006/relationships" xmlns:w="http://schemas.openxmlformats.org/wordprocessingml/2006/main">
  <w:divs>
    <w:div w:id="509955356">
      <w:bodyDiv w:val="1"/>
      <w:marLeft w:val="0"/>
      <w:marRight w:val="0"/>
      <w:marTop w:val="0"/>
      <w:marBottom w:val="0"/>
      <w:divBdr>
        <w:top w:val="none" w:sz="0" w:space="0" w:color="auto"/>
        <w:left w:val="none" w:sz="0" w:space="0" w:color="auto"/>
        <w:bottom w:val="none" w:sz="0" w:space="0" w:color="auto"/>
        <w:right w:val="none" w:sz="0" w:space="0" w:color="auto"/>
      </w:divBdr>
    </w:div>
    <w:div w:id="834033451">
      <w:bodyDiv w:val="1"/>
      <w:marLeft w:val="0"/>
      <w:marRight w:val="0"/>
      <w:marTop w:val="0"/>
      <w:marBottom w:val="0"/>
      <w:divBdr>
        <w:top w:val="none" w:sz="0" w:space="0" w:color="auto"/>
        <w:left w:val="none" w:sz="0" w:space="0" w:color="auto"/>
        <w:bottom w:val="none" w:sz="0" w:space="0" w:color="auto"/>
        <w:right w:val="none" w:sz="0" w:space="0" w:color="auto"/>
      </w:divBdr>
      <w:divsChild>
        <w:div w:id="1861043209">
          <w:marLeft w:val="0"/>
          <w:marRight w:val="0"/>
          <w:marTop w:val="0"/>
          <w:marBottom w:val="0"/>
          <w:divBdr>
            <w:top w:val="none" w:sz="0" w:space="0" w:color="auto"/>
            <w:left w:val="none" w:sz="0" w:space="0" w:color="auto"/>
            <w:bottom w:val="none" w:sz="0" w:space="0" w:color="auto"/>
            <w:right w:val="none" w:sz="0" w:space="0" w:color="auto"/>
          </w:divBdr>
          <w:divsChild>
            <w:div w:id="745765716">
              <w:marLeft w:val="0"/>
              <w:marRight w:val="0"/>
              <w:marTop w:val="0"/>
              <w:marBottom w:val="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1918</Words>
  <Characters>10939</Characters>
  <Application>Microsoft Office Word</Application>
  <DocSecurity>0</DocSecurity>
  <Lines>91</Lines>
  <Paragraphs>25</Paragraphs>
  <ScaleCrop>false</ScaleCrop>
  <Company/>
  <LinksUpToDate>false</LinksUpToDate>
  <CharactersWithSpaces>12832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zcc</dc:creator>
  <cp:lastModifiedBy>zcc</cp:lastModifiedBy>
  <cp:revision>1</cp:revision>
  <dcterms:created xsi:type="dcterms:W3CDTF">2018-09-02T01:38:00Z</dcterms:created>
  <dcterms:modified xsi:type="dcterms:W3CDTF">2018-09-02T02:06:00Z</dcterms:modified>
</cp:coreProperties>
</file>